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708" w:firstLine="0"/>
        <w:rPr>
          <w:b w:val="1"/>
        </w:rPr>
      </w:pPr>
      <w:r w:rsidDel="00000000" w:rsidR="00000000" w:rsidRPr="00000000">
        <w:rPr>
          <w:b w:val="1"/>
        </w:rPr>
        <w:drawing>
          <wp:inline distB="0" distT="0" distL="0" distR="0">
            <wp:extent cx="782946" cy="768776"/>
            <wp:effectExtent b="0" l="0" r="0" t="0"/>
            <wp:docPr id="126583317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782946" cy="768776"/>
                    </a:xfrm>
                    <a:prstGeom prst="rect"/>
                    <a:ln/>
                  </pic:spPr>
                </pic:pic>
              </a:graphicData>
            </a:graphic>
          </wp:inline>
        </w:drawing>
      </w:r>
      <w:r w:rsidDel="00000000" w:rsidR="00000000" w:rsidRPr="00000000">
        <w:rPr>
          <w:smallCaps w:val="1"/>
          <w:rtl w:val="0"/>
        </w:rPr>
        <w:t xml:space="preserve">Círculo Peruano de Fenomenología y Hermenéutica – CIphER</w:t>
      </w:r>
      <w:r w:rsidDel="00000000" w:rsidR="00000000" w:rsidRPr="00000000">
        <w:rPr>
          <w:b w:val="1"/>
          <w:rtl w:val="0"/>
        </w:rPr>
        <w:t xml:space="preserve"> </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jc w:val="center"/>
        <w:rPr>
          <w:smallCaps w:val="1"/>
          <w:sz w:val="32"/>
          <w:szCs w:val="32"/>
        </w:rPr>
      </w:pPr>
      <w:r w:rsidDel="00000000" w:rsidR="00000000" w:rsidRPr="00000000">
        <w:rPr>
          <w:smallCaps w:val="1"/>
          <w:sz w:val="32"/>
          <w:szCs w:val="32"/>
          <w:rtl w:val="0"/>
        </w:rPr>
        <w:t xml:space="preserve">Segunda Asamblea General</w:t>
      </w:r>
    </w:p>
    <w:p w:rsidR="00000000" w:rsidDel="00000000" w:rsidP="00000000" w:rsidRDefault="00000000" w:rsidRPr="00000000" w14:paraId="00000004">
      <w:pPr>
        <w:jc w:val="center"/>
        <w:rPr>
          <w:b w:val="1"/>
          <w:smallCaps w:val="1"/>
          <w:sz w:val="32"/>
          <w:szCs w:val="32"/>
        </w:rPr>
      </w:pPr>
      <w:r w:rsidDel="00000000" w:rsidR="00000000" w:rsidRPr="00000000">
        <w:rPr>
          <w:rtl w:val="0"/>
        </w:rPr>
      </w:r>
    </w:p>
    <w:p w:rsidR="00000000" w:rsidDel="00000000" w:rsidP="00000000" w:rsidRDefault="00000000" w:rsidRPr="00000000" w14:paraId="00000005">
      <w:pPr>
        <w:jc w:val="center"/>
        <w:rPr>
          <w:smallCaps w:val="1"/>
          <w:sz w:val="32"/>
          <w:szCs w:val="32"/>
        </w:rPr>
      </w:pPr>
      <w:r w:rsidDel="00000000" w:rsidR="00000000" w:rsidRPr="00000000">
        <w:rPr>
          <w:b w:val="1"/>
          <w:rtl w:val="0"/>
        </w:rPr>
        <w:t xml:space="preserve">15 MAYO 2025, 12:00 – 13:00 h</w:t>
      </w:r>
      <w:r w:rsidDel="00000000" w:rsidR="00000000" w:rsidRPr="00000000">
        <w:rPr>
          <w:rtl w:val="0"/>
        </w:rPr>
      </w:r>
    </w:p>
    <w:p w:rsidR="00000000" w:rsidDel="00000000" w:rsidP="00000000" w:rsidRDefault="00000000" w:rsidRPr="00000000" w14:paraId="00000006">
      <w:pPr>
        <w:jc w:val="center"/>
        <w:rPr/>
      </w:pPr>
      <w:r w:rsidDel="00000000" w:rsidR="00000000" w:rsidRPr="00000000">
        <w:rPr>
          <w:b w:val="1"/>
          <w:rtl w:val="0"/>
        </w:rPr>
        <w:t xml:space="preserve">Departamento de Humanidades, Sala de Sesiones</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jc w:val="center"/>
        <w:rPr/>
      </w:pPr>
      <w:r w:rsidDel="00000000" w:rsidR="00000000" w:rsidRPr="00000000">
        <w:rPr>
          <w:smallCaps w:val="1"/>
          <w:rtl w:val="0"/>
        </w:rPr>
        <w:t xml:space="preserve">Agenda</w:t>
      </w:r>
      <w:r w:rsidDel="00000000" w:rsidR="00000000" w:rsidRPr="00000000">
        <w:rPr>
          <w:rtl w:val="0"/>
        </w:rPr>
        <w:t xml:space="preserve"> (</w:t>
      </w:r>
      <w:r w:rsidDel="00000000" w:rsidR="00000000" w:rsidRPr="00000000">
        <w:rPr>
          <w:smallCaps w:val="1"/>
          <w:rtl w:val="0"/>
        </w:rPr>
        <w:t xml:space="preserve">Orden del día</w:t>
      </w:r>
      <w:r w:rsidDel="00000000" w:rsidR="00000000" w:rsidRPr="00000000">
        <w:rPr>
          <w:rtl w:val="0"/>
        </w:rPr>
        <w:t xml:space="preserv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numPr>
          <w:ilvl w:val="0"/>
          <w:numId w:val="1"/>
        </w:numPr>
        <w:ind w:left="720" w:hanging="360"/>
        <w:rPr/>
      </w:pPr>
      <w:r w:rsidDel="00000000" w:rsidR="00000000" w:rsidRPr="00000000">
        <w:rPr>
          <w:rtl w:val="0"/>
        </w:rPr>
        <w:t xml:space="preserve">Memoria de CIphER (2005-2024)</w:t>
      </w:r>
    </w:p>
    <w:p w:rsidR="00000000" w:rsidDel="00000000" w:rsidP="00000000" w:rsidRDefault="00000000" w:rsidRPr="00000000" w14:paraId="0000000B">
      <w:pPr>
        <w:numPr>
          <w:ilvl w:val="0"/>
          <w:numId w:val="1"/>
        </w:numPr>
        <w:ind w:left="720" w:hanging="360"/>
        <w:rPr/>
      </w:pPr>
      <w:r w:rsidDel="00000000" w:rsidR="00000000" w:rsidRPr="00000000">
        <w:rPr>
          <w:rtl w:val="0"/>
        </w:rPr>
        <w:t xml:space="preserve">Revisión del Reglamento (actualización, modificación, e implementación)</w:t>
      </w:r>
    </w:p>
    <w:p w:rsidR="00000000" w:rsidDel="00000000" w:rsidP="00000000" w:rsidRDefault="00000000" w:rsidRPr="00000000" w14:paraId="0000000C">
      <w:pPr>
        <w:numPr>
          <w:ilvl w:val="0"/>
          <w:numId w:val="1"/>
        </w:numPr>
        <w:ind w:left="720" w:hanging="360"/>
        <w:rPr/>
      </w:pPr>
      <w:r w:rsidDel="00000000" w:rsidR="00000000" w:rsidRPr="00000000">
        <w:rPr>
          <w:rtl w:val="0"/>
        </w:rPr>
        <w:t xml:space="preserve">Sobre el Grupo de Investigación CIphER-PUCP (2016 </w:t>
      </w:r>
      <w:sdt>
        <w:sdtPr>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tl w:val="0"/>
        </w:rPr>
        <w:t xml:space="preserve"> …)</w:t>
      </w:r>
    </w:p>
    <w:p w:rsidR="00000000" w:rsidDel="00000000" w:rsidP="00000000" w:rsidRDefault="00000000" w:rsidRPr="00000000" w14:paraId="0000000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68"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Evaluación 2021</w:t>
      </w:r>
    </w:p>
    <w:p w:rsidR="00000000" w:rsidDel="00000000" w:rsidP="00000000" w:rsidRDefault="00000000" w:rsidRPr="00000000" w14:paraId="0000000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68"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Evaluación 2024</w:t>
      </w:r>
    </w:p>
    <w:p w:rsidR="00000000" w:rsidDel="00000000" w:rsidP="00000000" w:rsidRDefault="00000000" w:rsidRPr="00000000" w14:paraId="0000000F">
      <w:pPr>
        <w:numPr>
          <w:ilvl w:val="0"/>
          <w:numId w:val="3"/>
        </w:numPr>
        <w:ind w:left="720" w:hanging="360"/>
        <w:rPr/>
      </w:pPr>
      <w:r w:rsidDel="00000000" w:rsidR="00000000" w:rsidRPr="00000000">
        <w:rPr>
          <w:rtl w:val="0"/>
        </w:rPr>
        <w:t xml:space="preserve">Renuncia de Rosemary R.P. de Lerner, como encargada de la Secretaría de CIphER y elección de un/a nuevo/a encargado/a; elección de un nuevo Comité de Dirección </w:t>
      </w:r>
    </w:p>
    <w:p w:rsidR="00000000" w:rsidDel="00000000" w:rsidP="00000000" w:rsidRDefault="00000000" w:rsidRPr="00000000" w14:paraId="00000010">
      <w:pPr>
        <w:numPr>
          <w:ilvl w:val="0"/>
          <w:numId w:val="3"/>
        </w:numPr>
        <w:ind w:left="720" w:hanging="360"/>
        <w:rPr/>
      </w:pPr>
      <w:r w:rsidDel="00000000" w:rsidR="00000000" w:rsidRPr="00000000">
        <w:rPr>
          <w:rtl w:val="0"/>
        </w:rPr>
        <w:t xml:space="preserve">Otros asuntos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smallCaps w:val="1"/>
        </w:rPr>
      </w:pPr>
      <w:r w:rsidDel="00000000" w:rsidR="00000000" w:rsidRPr="00000000">
        <w:rPr>
          <w:b w:val="1"/>
          <w:smallCaps w:val="1"/>
          <w:rtl w:val="0"/>
        </w:rPr>
        <w:t xml:space="preserve">Asistentes</w:t>
      </w:r>
    </w:p>
    <w:p w:rsidR="00000000" w:rsidDel="00000000" w:rsidP="00000000" w:rsidRDefault="00000000" w:rsidRPr="00000000" w14:paraId="00000013">
      <w:pPr>
        <w:rPr/>
      </w:pPr>
      <w:r w:rsidDel="00000000" w:rsidR="00000000" w:rsidRPr="00000000">
        <w:rPr>
          <w:rtl w:val="0"/>
        </w:rPr>
      </w:r>
    </w:p>
    <w:tbl>
      <w:tblPr>
        <w:tblStyle w:val="Table1"/>
        <w:tblW w:w="962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4"/>
        <w:gridCol w:w="4815"/>
        <w:tblGridChange w:id="0">
          <w:tblGrid>
            <w:gridCol w:w="4814"/>
            <w:gridCol w:w="4815"/>
          </w:tblGrid>
        </w:tblGridChange>
      </w:tblGrid>
      <w:tr>
        <w:trPr>
          <w:cantSplit w:val="0"/>
          <w:trHeight w:val="154" w:hRule="atLeast"/>
          <w:tblHeader w:val="0"/>
        </w:trPr>
        <w:tc>
          <w:tcPr/>
          <w:p w:rsidR="00000000" w:rsidDel="00000000" w:rsidP="00000000" w:rsidRDefault="00000000" w:rsidRPr="00000000" w14:paraId="00000014">
            <w:pPr>
              <w:rPr/>
            </w:pPr>
            <w:r w:rsidDel="00000000" w:rsidR="00000000" w:rsidRPr="00000000">
              <w:rPr>
                <w:rtl w:val="0"/>
              </w:rPr>
              <w:t xml:space="preserve">Presencialmente:</w:t>
            </w:r>
          </w:p>
          <w:p w:rsidR="00000000" w:rsidDel="00000000" w:rsidP="00000000" w:rsidRDefault="00000000" w:rsidRPr="00000000" w14:paraId="0000001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Salomón Lerner Febres</w:t>
            </w:r>
          </w:p>
          <w:p w:rsidR="00000000" w:rsidDel="00000000" w:rsidP="00000000" w:rsidRDefault="00000000" w:rsidRPr="00000000" w14:paraId="0000001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Cecilia Monteagudo Valdez</w:t>
            </w:r>
          </w:p>
          <w:p w:rsidR="00000000" w:rsidDel="00000000" w:rsidP="00000000" w:rsidRDefault="00000000" w:rsidRPr="00000000" w14:paraId="0000001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Mariana Chu García</w:t>
            </w:r>
          </w:p>
          <w:p w:rsidR="00000000" w:rsidDel="00000000" w:rsidP="00000000" w:rsidRDefault="00000000" w:rsidRPr="00000000" w14:paraId="0000001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Juan Pablo Cotrina</w:t>
            </w:r>
          </w:p>
          <w:p w:rsidR="00000000" w:rsidDel="00000000" w:rsidP="00000000" w:rsidRDefault="00000000" w:rsidRPr="00000000" w14:paraId="0000001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José Luis García</w:t>
            </w:r>
          </w:p>
          <w:p w:rsidR="00000000" w:rsidDel="00000000" w:rsidP="00000000" w:rsidRDefault="00000000" w:rsidRPr="00000000" w14:paraId="0000001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Breny Asto</w:t>
            </w:r>
          </w:p>
          <w:p w:rsidR="00000000" w:rsidDel="00000000" w:rsidP="00000000" w:rsidRDefault="00000000" w:rsidRPr="00000000" w14:paraId="0000001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Bruna Uceda </w:t>
            </w:r>
          </w:p>
          <w:p w:rsidR="00000000" w:rsidDel="00000000" w:rsidP="00000000" w:rsidRDefault="00000000" w:rsidRPr="00000000" w14:paraId="0000001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Rosemary Rizo-Patrón</w:t>
            </w:r>
          </w:p>
          <w:p w:rsidR="00000000" w:rsidDel="00000000" w:rsidP="00000000" w:rsidRDefault="00000000" w:rsidRPr="00000000" w14:paraId="0000001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Andrés León Geyer </w:t>
            </w:r>
          </w:p>
        </w:tc>
        <w:tc>
          <w:tcPr/>
          <w:p w:rsidR="00000000" w:rsidDel="00000000" w:rsidP="00000000" w:rsidRDefault="00000000" w:rsidRPr="00000000" w14:paraId="0000001E">
            <w:pPr>
              <w:rPr/>
            </w:pPr>
            <w:r w:rsidDel="00000000" w:rsidR="00000000" w:rsidRPr="00000000">
              <w:rPr>
                <w:rtl w:val="0"/>
              </w:rPr>
              <w:t xml:space="preserve">Por zoom:</w:t>
            </w:r>
          </w:p>
          <w:p w:rsidR="00000000" w:rsidDel="00000000" w:rsidP="00000000" w:rsidRDefault="00000000" w:rsidRPr="00000000" w14:paraId="0000001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w:t>
            </w:r>
            <w:r w:rsidDel="00000000" w:rsidR="00000000" w:rsidRPr="00000000">
              <w:rPr>
                <w:rtl w:val="0"/>
              </w:rPr>
              <w:t xml:space="preserve">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ctor Krebs</w:t>
            </w:r>
          </w:p>
          <w:p w:rsidR="00000000" w:rsidDel="00000000" w:rsidP="00000000" w:rsidRDefault="00000000" w:rsidRPr="00000000" w14:paraId="0000002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Víctor Casallo</w:t>
            </w:r>
          </w:p>
          <w:p w:rsidR="00000000" w:rsidDel="00000000" w:rsidP="00000000" w:rsidRDefault="00000000" w:rsidRPr="00000000" w14:paraId="0000002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Fidel Tubino</w:t>
            </w:r>
          </w:p>
          <w:p w:rsidR="00000000" w:rsidDel="00000000" w:rsidP="00000000" w:rsidRDefault="00000000" w:rsidRPr="00000000" w14:paraId="0000002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Martín David Córdova </w:t>
            </w:r>
          </w:p>
          <w:p w:rsidR="00000000" w:rsidDel="00000000" w:rsidP="00000000" w:rsidRDefault="00000000" w:rsidRPr="00000000" w14:paraId="0000002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Pepi Patrón</w:t>
            </w:r>
          </w:p>
          <w:p w:rsidR="00000000" w:rsidDel="00000000" w:rsidP="00000000" w:rsidRDefault="00000000" w:rsidRPr="00000000" w14:paraId="0000002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Kat</w:t>
            </w:r>
            <w:r w:rsidDel="00000000" w:rsidR="00000000" w:rsidRPr="00000000">
              <w:rPr>
                <w:rtl w:val="0"/>
              </w:rPr>
              <w:t xml:space="preserve">herine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Mansilla</w:t>
            </w:r>
          </w:p>
          <w:p w:rsidR="00000000" w:rsidDel="00000000" w:rsidP="00000000" w:rsidRDefault="00000000" w:rsidRPr="00000000" w14:paraId="0000002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Luz Ascárate </w:t>
            </w:r>
          </w:p>
          <w:p w:rsidR="00000000" w:rsidDel="00000000" w:rsidP="00000000" w:rsidRDefault="00000000" w:rsidRPr="00000000" w14:paraId="0000002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Víctor Montero</w:t>
            </w:r>
          </w:p>
          <w:p w:rsidR="00000000" w:rsidDel="00000000" w:rsidP="00000000" w:rsidRDefault="00000000" w:rsidRPr="00000000" w14:paraId="0000002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Arturo Seminario</w:t>
            </w:r>
          </w:p>
        </w:tc>
      </w:tr>
    </w:tbl>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jc w:val="center"/>
        <w:rPr/>
      </w:pPr>
      <w:r w:rsidDel="00000000" w:rsidR="00000000" w:rsidRPr="00000000">
        <w:rPr>
          <w:rtl w:val="0"/>
        </w:rPr>
        <w:t xml:space="preserve">***</w:t>
      </w:r>
    </w:p>
    <w:p w:rsidR="00000000" w:rsidDel="00000000" w:rsidP="00000000" w:rsidRDefault="00000000" w:rsidRPr="00000000" w14:paraId="0000002B">
      <w:pPr>
        <w:jc w:val="cente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La sesión empezó a las 12:05 h., dirigida por R. Rizo-Patrón, Secretaria, siendo grabada por zoom.</w:t>
      </w:r>
    </w:p>
    <w:p w:rsidR="00000000" w:rsidDel="00000000" w:rsidP="00000000" w:rsidRDefault="00000000" w:rsidRPr="00000000" w14:paraId="0000002D">
      <w:pPr>
        <w:rPr/>
      </w:pPr>
      <w:r w:rsidDel="00000000" w:rsidR="00000000" w:rsidRPr="00000000">
        <w:rPr>
          <w:rtl w:val="0"/>
        </w:rPr>
        <w:t xml:space="preserve">Iniciada la reunión, se leyó la Agenda (Orden del Día), que fue aprobada por los asistentes.</w:t>
      </w:r>
    </w:p>
    <w:p w:rsidR="00000000" w:rsidDel="00000000" w:rsidP="00000000" w:rsidRDefault="00000000" w:rsidRPr="00000000" w14:paraId="0000002E">
      <w:pPr>
        <w:jc w:val="center"/>
        <w:rPr/>
      </w:pPr>
      <w:r w:rsidDel="00000000" w:rsidR="00000000" w:rsidRPr="00000000">
        <w:rPr>
          <w:rtl w:val="0"/>
        </w:rPr>
      </w:r>
    </w:p>
    <w:p w:rsidR="00000000" w:rsidDel="00000000" w:rsidP="00000000" w:rsidRDefault="00000000" w:rsidRPr="00000000" w14:paraId="0000002F">
      <w:pPr>
        <w:numPr>
          <w:ilvl w:val="0"/>
          <w:numId w:val="13"/>
        </w:numPr>
        <w:ind w:left="360" w:hanging="360"/>
        <w:rPr>
          <w:b w:val="1"/>
          <w:smallCaps w:val="1"/>
        </w:rPr>
      </w:pPr>
      <w:r w:rsidDel="00000000" w:rsidR="00000000" w:rsidRPr="00000000">
        <w:rPr>
          <w:b w:val="1"/>
          <w:smallCaps w:val="1"/>
          <w:rtl w:val="0"/>
        </w:rPr>
        <w:t xml:space="preserve">Memoria de CIphER (2005-2024).</w:t>
      </w:r>
    </w:p>
    <w:p w:rsidR="00000000" w:rsidDel="00000000" w:rsidP="00000000" w:rsidRDefault="00000000" w:rsidRPr="00000000" w14:paraId="00000030">
      <w:pPr>
        <w:rPr>
          <w:b w:val="1"/>
          <w:smallCaps w:val="1"/>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Secretaria empezó exponiendo la Memoria de CIphER (2005-2024). Aclaró que se trata de la 2ª Asamblea de Clafen desde su fundación.</w:t>
      </w:r>
    </w:p>
    <w:p w:rsidR="00000000" w:rsidDel="00000000" w:rsidP="00000000" w:rsidRDefault="00000000" w:rsidRPr="00000000" w14:paraId="0000003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expusieron los motivos que llevaron a la fundación de CIphER: </w:t>
      </w:r>
    </w:p>
    <w:p w:rsidR="00000000" w:rsidDel="00000000" w:rsidP="00000000" w:rsidRDefault="00000000" w:rsidRPr="00000000" w14:paraId="0000003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Sugerencia de L. Embree, para que nuestro círculo asumiera la organización de la II Conferencia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Organization of Phenomenological Organizations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(OPO)–organización que se fundó en Praga, el año 2002, en la que se realizó la I OPO Meeting, con representantes de 50 países, en el mismo salón en que Husserl leyó su “Conferencia de Praga” de 1935, la base de su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Crisis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1936). </w:t>
      </w:r>
    </w:p>
    <w:p w:rsidR="00000000" w:rsidDel="00000000" w:rsidP="00000000" w:rsidRDefault="00000000" w:rsidRPr="00000000" w14:paraId="0000003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Previamente (enero 2004), tuvo lugar en Lima  el mega Congreso Inter-Iberoamericano de Filosofía,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Tolerancia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organizado por el Centro de Estudios Filosóficos (CEF). Desde CIphER teníamos la responsabilidad de publicar gran parte de las ponencias de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Tolerancia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El año 2006 se publicó el volumen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Interpretando la Experiencia de la Tolerancia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35 aportes de Iberoamérica. Otros aportes de dicho Congreso se publicaron en el volumen II del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Acta fenomenológica latinoamericana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del Círculo Latinoamericano de Fenomenología (CLAFEN), serie co-editada con la sede de México, agosto 2005.</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1ª Asamblea de CIphER, en la que se fundó nuestro círculo, se realizó el 20.08.2004, en el Departamento de Humanidades, con la presencia de: F. Camino, S. Lerner, B. Haour, P. Patrón, F. Quino, O. Oquendo, C. Monteagudo, J. Molina (+), M.I. Quevedo, V. Montero, R. Rizo-Patrón.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0"/>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Los acuerdos que se tomaron en dicha 1ª Asamblea (2004) son los siguientes:</w:t>
      </w:r>
    </w:p>
    <w:p w:rsidR="00000000" w:rsidDel="00000000" w:rsidP="00000000" w:rsidRDefault="00000000" w:rsidRPr="00000000" w14:paraId="0000003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acordó el nombre de nuestro círculo y sus siglas, los tipos de membresía (ordinarios, colaboradores), y usar el Reglamento de CLAFEN como modelo del de CIphER.</w:t>
      </w:r>
    </w:p>
    <w:p w:rsidR="00000000" w:rsidDel="00000000" w:rsidP="00000000" w:rsidRDefault="00000000" w:rsidRPr="00000000" w14:paraId="0000003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acordó nombrar: a Rosemary RP de Lerner a la Secretaría, a los asistentes de la 1ª Asamblea como miembros del Comité de Dirección, y a todos los miembros de CIphER, como miembros de la Asamblea. En un inicio, se acordó que los miembros peruanos de CLAFEN serían automáticamente miembros de CIphER e integrantes de la Asamblea; luego, se añadirian otros que solicitaran su ingreso mediante un formulario a través de nuestra página web.</w:t>
      </w:r>
    </w:p>
    <w:p w:rsidR="00000000" w:rsidDel="00000000" w:rsidP="00000000" w:rsidRDefault="00000000" w:rsidRPr="00000000" w14:paraId="0000003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aprobó CIphER se encargaría de la organización del II Congreso de la OPO en la PUCP, al año siguiente, que se realizó del 15-20 de agosto de 2005. </w:t>
      </w:r>
    </w:p>
    <w:p w:rsidR="00000000" w:rsidDel="00000000" w:rsidP="00000000" w:rsidRDefault="00000000" w:rsidRPr="00000000" w14:paraId="0000003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decidió organizar regularmente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Jornadas de Fenomenología y Hermenéutica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(JFH), y que la primera se realizaría el 2005, luego del Congreso OPO, por lo que la primera se realizó del 13 al 14 de diciembre de 2005). (</w:t>
      </w:r>
      <w:hyperlink r:id="rId9">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https://red.pucp.edu.pe/cipher/en/eventos/2005-primeras-jornadas-de-fenomenologia-y-hermeneutica/</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acordó publicar en una futura página web de CIphER todas las Actas de las Jornadas, después de realizadas y de enviar las mejores al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Acta fenomenológica latinoamericana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(co-responsables R. Rizo-Patrón y A. Zirión Q. en México, ed. Jitanjáfora).</w:t>
      </w:r>
    </w:p>
    <w:p w:rsidR="00000000" w:rsidDel="00000000" w:rsidP="00000000" w:rsidRDefault="00000000" w:rsidRPr="00000000" w14:paraId="0000003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425"/>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Secretaría de CIphER funcionaría con el mismo presupuesto de la Secretaría de CLAFEN, que gozaba desde 1999 del apoyo del Departamento de Humanidades), con el que ya se cubría a la Asistente de Secretaría (la que sería la misma), la edición del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Acta fenomenológica latinoamericana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 co-edición con México, sede electrónica de CLAFEN), y otras ediciones (como la edición del libro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Tolerancia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publicado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2006). Con dicho presupuesto se organizarían las Jornadas, sin añadir mayor gasto a la universidad por su funcionamiento.</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Durante 20 años ininterrumpidos se realizaron 20 Jornadas. Desde las II JFH </w:t>
      </w:r>
      <w:sdt>
        <w:sdtPr>
          <w:tag w:val="goog_rdk_1"/>
        </w:sdtPr>
        <w:sdtContent>
          <w:r w:rsidDel="00000000" w:rsidR="00000000" w:rsidRPr="00000000">
            <w:rPr>
              <w:rFonts w:ascii="Arial Unicode MS" w:cs="Arial Unicode MS" w:eastAsia="Arial Unicode MS" w:hAnsi="Arial Unicode MS"/>
              <w:b w:val="0"/>
              <w:i w:val="0"/>
              <w:smallCaps w:val="0"/>
              <w:strike w:val="0"/>
              <w:color w:val="000000"/>
              <w:sz w:val="24"/>
              <w:szCs w:val="24"/>
              <w:u w:val="none"/>
              <w:shd w:fill="auto" w:val="clear"/>
              <w:vertAlign w:val="baseline"/>
              <w:rtl w:val="0"/>
            </w:rPr>
            <w:t xml:space="preserve">➜</w:t>
          </w:r>
        </w:sdtContent>
      </w:sd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las convocatorias contaron con un contenido temático e invitados internacionales especialistas en dichos temas. Se contó con el apoyo permanente del Departamento de Humanidades, el CEF, y la participación de un grupo fiel de miembros y profesores (de la PUCP, Universidad Antonio Ruiz de Montoya UARM, Universidad Nacional Mayor de San Marcos UNMSM), así como de jóvenes miembros adscritos internacionales.</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Las 20 Jornadas fueron las siguientes:</w:t>
      </w:r>
    </w:p>
    <w:p w:rsidR="00000000" w:rsidDel="00000000" w:rsidP="00000000" w:rsidRDefault="00000000" w:rsidRPr="00000000" w14:paraId="0000003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Hannah Arendt: Mundo, pluralidad, acción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(Richard Bernstein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2007 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herencia de Paul Ricoeur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(Marie-France Begué)</w:t>
      </w:r>
    </w:p>
    <w:p w:rsidR="00000000" w:rsidDel="00000000" w:rsidP="00000000" w:rsidRDefault="00000000" w:rsidRPr="00000000" w14:paraId="0000004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2008 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Hermenéutica en diálogo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(Carlos B. Gutiérrez, Mariflor Aguilar y Natalie Depraz), que dio lugar a un libro editado por Cecilia Monteagudo y Fidel Tubino (Lima: Fondo Editorial PUCP, 2009)</w:t>
      </w:r>
    </w:p>
    <w:p w:rsidR="00000000" w:rsidDel="00000000" w:rsidP="00000000" w:rsidRDefault="00000000" w:rsidRPr="00000000" w14:paraId="0000004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2009 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Retornando a las fuentes de la fenomenología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(Bruce Bégout)</w:t>
      </w:r>
    </w:p>
    <w:p w:rsidR="00000000" w:rsidDel="00000000" w:rsidP="00000000" w:rsidRDefault="00000000" w:rsidRPr="00000000" w14:paraId="0000004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2010 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Experiencia e interpretación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(Miguel García-Baró)</w:t>
      </w:r>
    </w:p>
    <w:p w:rsidR="00000000" w:rsidDel="00000000" w:rsidP="00000000" w:rsidRDefault="00000000" w:rsidRPr="00000000" w14:paraId="0000004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2011 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Ética y Antropología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(Javier San Martín, Josefina Birulés, Julia Iribarne)</w:t>
      </w:r>
    </w:p>
    <w:p w:rsidR="00000000" w:rsidDel="00000000" w:rsidP="00000000" w:rsidRDefault="00000000" w:rsidRPr="00000000" w14:paraId="0000004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2012 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Historicidad, cultura y mundo de la vida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(Graciela Ralón de Walton, Roberto J. Walton, Jesús Adrián Escudero)</w:t>
      </w:r>
    </w:p>
    <w:p w:rsidR="00000000" w:rsidDel="00000000" w:rsidP="00000000" w:rsidRDefault="00000000" w:rsidRPr="00000000" w14:paraId="0000004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2013 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Del sujeto trascendental al cogito herido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(Antonio Zirión Quijano, Eduardo Silva Arévalo)</w:t>
      </w:r>
    </w:p>
    <w:p w:rsidR="00000000" w:rsidDel="00000000" w:rsidP="00000000" w:rsidRDefault="00000000" w:rsidRPr="00000000" w14:paraId="0000004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2014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Los desafíos a la fenomenología clásica desde la filosofía contemporánea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(Sebastian Luft)</w:t>
      </w:r>
    </w:p>
    <w:p w:rsidR="00000000" w:rsidDel="00000000" w:rsidP="00000000" w:rsidRDefault="00000000" w:rsidRPr="00000000" w14:paraId="0000004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2015 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Intersubjetividad, Interculturalidad e Identidad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(Karen Gloy, Alcira Bonilla, Rudolf Bernet, Jean Leclercq) </w:t>
      </w:r>
    </w:p>
    <w:p w:rsidR="00000000" w:rsidDel="00000000" w:rsidP="00000000" w:rsidRDefault="00000000" w:rsidRPr="00000000" w14:paraId="0000004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Fenomenología y hermenéutica aplicadas: Razón y diversidad cultural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(Mariano Crespo) </w:t>
      </w:r>
    </w:p>
    <w:p w:rsidR="00000000" w:rsidDel="00000000" w:rsidP="00000000" w:rsidRDefault="00000000" w:rsidRPr="00000000" w14:paraId="0000004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2017 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Ser y tiempo: 90 años después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(Jorge Acevedo, Roberto Rubio, Ángel Xolocotzi) </w:t>
      </w:r>
    </w:p>
    <w:p w:rsidR="00000000" w:rsidDel="00000000" w:rsidP="00000000" w:rsidRDefault="00000000" w:rsidRPr="00000000" w14:paraId="0000004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2018 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Mundo de la vida y sentido de la historia, en conmemoración del bicentenario del nacimiento de Karl Marx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(Kurt Mertel, María del Carmen López)</w:t>
      </w:r>
    </w:p>
    <w:p w:rsidR="00000000" w:rsidDel="00000000" w:rsidP="00000000" w:rsidRDefault="00000000" w:rsidRPr="00000000" w14:paraId="0000004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2019 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Fenomenología y hermenéutica de las emociones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(Ignacio Quepons, Anthony Steinbock) </w:t>
      </w:r>
    </w:p>
    <w:p w:rsidR="00000000" w:rsidDel="00000000" w:rsidP="00000000" w:rsidRDefault="00000000" w:rsidRPr="00000000" w14:paraId="0000004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2020 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subjetividad reconsiderada más allá del hiato en la cultura. Responsabilidad ante la crisis del 2020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(Agustín Serrano de Haro, Dan Zahavi)</w:t>
      </w:r>
    </w:p>
    <w:p w:rsidR="00000000" w:rsidDel="00000000" w:rsidP="00000000" w:rsidRDefault="00000000" w:rsidRPr="00000000" w14:paraId="0000004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2021 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actualidad de la fenomenología y la hermenéutica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(Javier San Martín, Dermot Moran, Sara Heinamäa, Mariflor Aguilar Rivero, Carlos Emilio Gende, Luis Niel) </w:t>
      </w:r>
    </w:p>
    <w:p w:rsidR="00000000" w:rsidDel="00000000" w:rsidP="00000000" w:rsidRDefault="00000000" w:rsidRPr="00000000" w14:paraId="0000004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2022 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Antropología y cultura. En conmemoración de los 100 años de Renovación del hombre y la cultura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Kaizo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(Ion Copoeru, Javier San Martín, Marcela Venebra) </w:t>
      </w:r>
    </w:p>
    <w:p w:rsidR="00000000" w:rsidDel="00000000" w:rsidP="00000000" w:rsidRDefault="00000000" w:rsidRPr="00000000" w14:paraId="0000005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2023 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Democracia, ecología, tecnología. La fenomenología y la hermenéutica ante la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nueva invisibilidad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(James Dodd, Michael Staudigl, Natalie Depraz) </w:t>
      </w:r>
    </w:p>
    <w:p w:rsidR="00000000" w:rsidDel="00000000" w:rsidP="00000000" w:rsidRDefault="00000000" w:rsidRPr="00000000" w14:paraId="0000005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24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2024 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Estelas de Kant, su legado en la Filosofía Continental Contemporánea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(Steven Crowell, Thomas Nenon, Dennis Schmidt)</w:t>
      </w:r>
    </w:p>
    <w:p w:rsidR="00000000" w:rsidDel="00000000" w:rsidP="00000000" w:rsidRDefault="00000000" w:rsidRPr="00000000" w14:paraId="0000005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Además, CIphER recibió la visita de numerosos filósofos extranjeros que se encargaron de ciclos de conferencias, talleres, cursos (las conferencias a veces con el apoyo del CEF en sus “martes filosóficos”, u otros):</w:t>
      </w:r>
    </w:p>
    <w:tbl>
      <w:tblPr>
        <w:tblStyle w:val="Table2"/>
        <w:tblW w:w="5811.0" w:type="dxa"/>
        <w:jc w:val="left"/>
        <w:tblInd w:w="130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6"/>
        <w:gridCol w:w="2835"/>
        <w:tblGridChange w:id="0">
          <w:tblGrid>
            <w:gridCol w:w="2976"/>
            <w:gridCol w:w="2835"/>
          </w:tblGrid>
        </w:tblGridChange>
      </w:tblGrid>
      <w:tr>
        <w:trPr>
          <w:cantSplit w:val="0"/>
          <w:trHeight w:val="164" w:hRule="atLeast"/>
          <w:tblHeader w:val="0"/>
        </w:trPr>
        <w:tc>
          <w:tcPr/>
          <w:p w:rsidR="00000000" w:rsidDel="00000000" w:rsidP="00000000" w:rsidRDefault="00000000" w:rsidRPr="00000000" w14:paraId="0000005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40" w:lineRule="auto"/>
              <w:ind w:left="357"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Karen Gloy</w:t>
            </w:r>
          </w:p>
          <w:p w:rsidR="00000000" w:rsidDel="00000000" w:rsidP="00000000" w:rsidRDefault="00000000" w:rsidRPr="00000000" w14:paraId="0000005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Jesús Adrián E.</w:t>
            </w:r>
          </w:p>
          <w:p w:rsidR="00000000" w:rsidDel="00000000" w:rsidP="00000000" w:rsidRDefault="00000000" w:rsidRPr="00000000" w14:paraId="0000005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Natalie Depraz</w:t>
            </w:r>
          </w:p>
          <w:p w:rsidR="00000000" w:rsidDel="00000000" w:rsidP="00000000" w:rsidRDefault="00000000" w:rsidRPr="00000000" w14:paraId="0000005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Miguel García-Baró</w:t>
            </w:r>
          </w:p>
          <w:p w:rsidR="00000000" w:rsidDel="00000000" w:rsidP="00000000" w:rsidRDefault="00000000" w:rsidRPr="00000000" w14:paraId="000000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David Carr</w:t>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Eric Pommier</w:t>
            </w:r>
          </w:p>
          <w:p w:rsidR="00000000" w:rsidDel="00000000" w:rsidP="00000000" w:rsidRDefault="00000000" w:rsidRPr="00000000" w14:paraId="000000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Luis Rabanaque</w:t>
            </w:r>
          </w:p>
          <w:p w:rsidR="00000000" w:rsidDel="00000000" w:rsidP="00000000" w:rsidRDefault="00000000" w:rsidRPr="00000000" w14:paraId="000000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Jean-François Courtine</w:t>
            </w:r>
          </w:p>
        </w:tc>
        <w:tc>
          <w:tcPr/>
          <w:p w:rsidR="00000000" w:rsidDel="00000000" w:rsidP="00000000" w:rsidRDefault="00000000" w:rsidRPr="00000000" w14:paraId="0000005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40" w:lineRule="auto"/>
              <w:ind w:left="357"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Rudolf Bernet</w:t>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Renaud Barbaras</w:t>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Julia Iribarne</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Roberto Walton</w:t>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Graciela Ralón</w:t>
            </w:r>
          </w:p>
          <w:p w:rsidR="00000000" w:rsidDel="00000000" w:rsidP="00000000" w:rsidRDefault="00000000" w:rsidRPr="00000000" w14:paraId="000000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Jean Leclercq</w:t>
            </w:r>
          </w:p>
          <w:p w:rsidR="00000000" w:rsidDel="00000000" w:rsidP="00000000" w:rsidRDefault="00000000" w:rsidRPr="00000000" w14:paraId="0000006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Javier San Martín</w:t>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Edward Casey, etc. etc.</w:t>
            </w:r>
          </w:p>
        </w:tc>
      </w:tr>
    </w:tbl>
    <w:p w:rsidR="00000000" w:rsidDel="00000000" w:rsidP="00000000" w:rsidRDefault="00000000" w:rsidRPr="00000000" w14:paraId="0000006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357"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informó que, durante estos 20 años, los miembros también organizaron otras actividades, congresos, talleres, symposia o realizaron pequeñas publicaciones </w:t>
      </w:r>
      <w:sdt>
        <w:sdtPr>
          <w:tag w:val="goog_rdk_2"/>
        </w:sdtPr>
        <w:sdtContent>
          <w:r w:rsidDel="00000000" w:rsidR="00000000" w:rsidRPr="00000000">
            <w:rPr>
              <w:rFonts w:ascii="Arial Unicode MS" w:cs="Arial Unicode MS" w:eastAsia="Arial Unicode MS" w:hAnsi="Arial Unicode MS"/>
              <w:b w:val="0"/>
              <w:i w:val="0"/>
              <w:smallCaps w:val="0"/>
              <w:strike w:val="0"/>
              <w:color w:val="000000"/>
              <w:sz w:val="24"/>
              <w:szCs w:val="24"/>
              <w:u w:val="none"/>
              <w:shd w:fill="auto" w:val="clear"/>
              <w:vertAlign w:val="baseline"/>
              <w:rtl w:val="0"/>
            </w:rPr>
            <w:t xml:space="preserve">➨</w:t>
          </w:r>
        </w:sdtContent>
      </w:sdt>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2005: 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II OPO Meeting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(organizado por CLAFEN/CIphER/CARP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1"/>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/CEF): con 45 representantes de Europa Occidental (Francia, Bélgica, España, Portugal, Italia), y del Este (Rumanía, Rusia), Asia (Japón, Hong-Kong/China y Taiwán), América del Norte (USA) y Sur (Perú, Venezuela, Colombia, Chile y Argentina), en </w:t>
      </w:r>
      <w:r w:rsidDel="00000000" w:rsidR="00000000" w:rsidRPr="00000000">
        <w:rPr>
          <w:rtl w:val="0"/>
        </w:rPr>
        <w:t xml:space="preserve">él participaron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varios miembros peruanos de CLAFEN y CIphER. La publicación de estas ponencias, además de otras contribuciones posteriores, estuvo coordinada por Lester Embree, a través de la editorial rumana Z-books.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2"/>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2013: a cargo de Luz Ascárate y de Arturo Rivas, bajo la supervisión y corrección de R. Rizo-Patrón, se publicó por el Instituto Riva-Agüero (también en el marco de su “Seminario de filosofía”), el fruto de un trabajo iniciado el 2012: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locura de las musas - Estudio fenomenológico sobre la imaginación y la creación artística de los pacientes con esquizofrenia del Hospital Víctor Larco Herrera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(pp. 89).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3"/>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2016: “Entre la Literatura y la filosofía, ¿la Fenomenología?” Coloquio belga-peruano (co-organizado por la Universidad del Pacífico, la PUCP (CIphER/CEF) y la Universidad Católica de Lovaina. Las contribuciones se publicaron con el título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Entre Philosophie et Littérature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la Phénoménologie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(eds. C. del Mastro, J. Leclercq, R. Rizo-Patrón y J. Wiesse), Louvain: Presses Universitaires de Louvain, 2024.</w:t>
      </w:r>
    </w:p>
    <w:p w:rsidR="00000000" w:rsidDel="00000000" w:rsidP="00000000" w:rsidRDefault="00000000" w:rsidRPr="00000000" w14:paraId="0000006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2018: “Taller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Métodos y problemas, perspectivas e investigaciones fenomenológicas actuales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coloquio organizado por CEF-CIphER en Homenaje a la memoria de L. Embree, con los auspicios de CARP y la presencia de 26 participantes extranjeros y 4 del Perú</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4"/>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Dio lugar a un libro bilingüe publicado con el título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Métodos y problemas Perspectivas e investigaciones fenomenológicas actuales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Methods and Problems Current Phenomenological Perspectives and Research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Eds. Vania Alarcón Castillo, Mariana Chu García, Rosemary R.P. de Lerner, 2024 </w:t>
      </w:r>
    </w:p>
    <w:p w:rsidR="00000000" w:rsidDel="00000000" w:rsidP="00000000" w:rsidRDefault="00000000" w:rsidRPr="00000000" w14:paraId="0000006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360" w:before="0" w:line="240" w:lineRule="auto"/>
        <w:ind w:left="851" w:right="0" w:hanging="284"/>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2022: Serie de conferencias virtuales tituladas “Phenomenological Transfers” – organizada por miembros jóvenes de CIphER desde el extranjero, y con el apoyo de la Secretaría de CIphER y el CEF: L. Ascárate (Paris), R. Aybar (Viena), R. Sandoval (Santiago de Chile), entre marzo-julio, con amplia participación internacional juvenil.</w:t>
      </w:r>
    </w:p>
    <w:p w:rsidR="00000000" w:rsidDel="00000000" w:rsidP="00000000" w:rsidRDefault="00000000" w:rsidRPr="00000000" w14:paraId="0000006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1"/>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24"/>
          <w:szCs w:val="24"/>
          <w:u w:val="none"/>
          <w:shd w:fill="auto" w:val="clear"/>
          <w:vertAlign w:val="baseline"/>
          <w:rtl w:val="0"/>
        </w:rPr>
        <w:t xml:space="preserve">Revisión del Reglamento (actualización, modificación, e implementación)</w:t>
      </w:r>
    </w:p>
    <w:p w:rsidR="00000000" w:rsidDel="00000000" w:rsidP="00000000" w:rsidRDefault="00000000" w:rsidRPr="00000000" w14:paraId="0000006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Reglamento se distribuyó previamente con la convocatoria a la 2ª Asamblea, entre los miembros de CIphER.</w:t>
      </w:r>
    </w:p>
    <w:p w:rsidR="00000000" w:rsidDel="00000000" w:rsidP="00000000" w:rsidRDefault="00000000" w:rsidRPr="00000000" w14:paraId="0000006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57"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Secretaria destacó, para efectos de esta reunión, tres artículos:</w:t>
      </w:r>
    </w:p>
    <w:p w:rsidR="00000000" w:rsidDel="00000000" w:rsidP="00000000" w:rsidRDefault="00000000" w:rsidRPr="00000000" w14:paraId="0000006C">
      <w:pPr>
        <w:ind w:left="708" w:firstLine="0"/>
        <w:rPr>
          <w:color w:val="0070c0"/>
          <w:sz w:val="20"/>
          <w:szCs w:val="20"/>
        </w:rPr>
      </w:pPr>
      <w:r w:rsidDel="00000000" w:rsidR="00000000" w:rsidRPr="00000000">
        <w:rPr>
          <w:color w:val="0070c0"/>
          <w:sz w:val="20"/>
          <w:szCs w:val="20"/>
          <w:rtl w:val="0"/>
        </w:rPr>
        <w:t xml:space="preserve">4.2 Además de la Secretaría y la Sede Electrónica, el Círculo contará con un Comité de Dirección integrado por los encargados de la Secretaría, la Sede electrónica y miembros elegidos en representación de instituciones académicas nacionales, y una Asamblea, integrada por todos sus miembros.</w:t>
      </w:r>
    </w:p>
    <w:p w:rsidR="00000000" w:rsidDel="00000000" w:rsidP="00000000" w:rsidRDefault="00000000" w:rsidRPr="00000000" w14:paraId="0000006D">
      <w:pPr>
        <w:ind w:left="708" w:firstLine="0"/>
        <w:rPr>
          <w:color w:val="0070c0"/>
          <w:sz w:val="20"/>
          <w:szCs w:val="20"/>
        </w:rPr>
      </w:pPr>
      <w:r w:rsidDel="00000000" w:rsidR="00000000" w:rsidRPr="00000000">
        <w:rPr>
          <w:color w:val="0070c0"/>
          <w:sz w:val="20"/>
          <w:szCs w:val="20"/>
          <w:rtl w:val="0"/>
        </w:rPr>
        <w:t xml:space="preserve">4.3 La Asamblea es el órgano máximo del Círculo y tomará todas las decisiones que sean de interés para el Círculo. En ella tendrán voz y voto, individualmente, cada uno de los miembros.</w:t>
      </w:r>
    </w:p>
    <w:p w:rsidR="00000000" w:rsidDel="00000000" w:rsidP="00000000" w:rsidRDefault="00000000" w:rsidRPr="00000000" w14:paraId="0000006E">
      <w:pPr>
        <w:ind w:left="708" w:firstLine="0"/>
        <w:rPr>
          <w:color w:val="0070c0"/>
          <w:sz w:val="20"/>
          <w:szCs w:val="20"/>
        </w:rPr>
      </w:pPr>
      <w:r w:rsidDel="00000000" w:rsidR="00000000" w:rsidRPr="00000000">
        <w:rPr>
          <w:color w:val="0070c0"/>
          <w:sz w:val="20"/>
          <w:szCs w:val="20"/>
          <w:rtl w:val="0"/>
        </w:rPr>
        <w:t xml:space="preserve">(…)</w:t>
      </w:r>
    </w:p>
    <w:p w:rsidR="00000000" w:rsidDel="00000000" w:rsidP="00000000" w:rsidRDefault="00000000" w:rsidRPr="00000000" w14:paraId="0000006F">
      <w:pPr>
        <w:spacing w:after="120" w:lineRule="auto"/>
        <w:ind w:left="709" w:firstLine="0"/>
        <w:rPr>
          <w:color w:val="0070c0"/>
          <w:sz w:val="20"/>
          <w:szCs w:val="20"/>
        </w:rPr>
      </w:pPr>
      <w:r w:rsidDel="00000000" w:rsidR="00000000" w:rsidRPr="00000000">
        <w:rPr>
          <w:color w:val="0070c0"/>
          <w:sz w:val="20"/>
          <w:szCs w:val="20"/>
          <w:rtl w:val="0"/>
        </w:rPr>
        <w:t xml:space="preserve">4.5 La selección y duración de los miembros del Comité Directivo dependerá de la Asamblea.</w:t>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necesidad de “actualizar, modificar e implementar” el Reglamento se dió porque, en honor a la verdad, éste fue armado algo precipitadamente luego de la 1ª Asamblea, en la que se decidió de modo general:</w:t>
      </w:r>
    </w:p>
    <w:p w:rsidR="00000000" w:rsidDel="00000000" w:rsidP="00000000" w:rsidRDefault="00000000" w:rsidRPr="00000000" w14:paraId="0000007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Tomar como modelo de Reglamento el de CLAFEN (</w:t>
      </w:r>
      <w:hyperlink r:id="rId10">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www.clafen.org</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Adoptar sus 3 unidades de organización: Secretaría, Comité de Dirección y Asamblea (en agosto 2004 se eligieron sus representantes)</w:t>
      </w:r>
    </w:p>
    <w:p w:rsidR="00000000" w:rsidDel="00000000" w:rsidP="00000000" w:rsidRDefault="00000000" w:rsidRPr="00000000" w14:paraId="0000007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disposiciones transitorias se señaló que las Asambleas se realizarían durante las Jornadas (como en el caso de los Coloquios de CLAFEN), siendo la Asamblea quien decidiría los cargos y tiempos de renovación. </w:t>
      </w:r>
    </w:p>
    <w:p w:rsidR="00000000" w:rsidDel="00000000" w:rsidP="00000000" w:rsidRDefault="00000000" w:rsidRPr="00000000" w14:paraId="0000007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20" w:before="0" w:line="240" w:lineRule="auto"/>
        <w:ind w:left="1434"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Desde el 2005, con la organización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II OPO Meeting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 de las I JFH, además de las diversas actividades que sobrevinieron, si bien el Reglamento quedó alojado en la página web de CIphER (renovada 3 veces—la última de las cuales, desde 2023, no lo incluyó—), la Secretaria olvidó completamente dichas disposiciones transitorias del Reglamento, cosa que obliga considerarlas desde esta 2ª Asamblea—¡veinte años después!</w:t>
      </w:r>
    </w:p>
    <w:p w:rsidR="00000000" w:rsidDel="00000000" w:rsidP="00000000" w:rsidRDefault="00000000" w:rsidRPr="00000000" w14:paraId="0000007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57"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Una copia del Reglamento así como el Acta de Fundación de la 1ª Asamblea se distribuyó previamente a los miembros de CIphER, acompañando la convocatoria a esta 2ª Asamblea, incluyendo una propuesta de modificación.</w:t>
      </w:r>
    </w:p>
    <w:p w:rsidR="00000000" w:rsidDel="00000000" w:rsidP="00000000" w:rsidRDefault="00000000" w:rsidRPr="00000000" w14:paraId="0000007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0" w:line="240" w:lineRule="auto"/>
        <w:ind w:left="1434" w:right="0" w:hanging="357"/>
        <w:jc w:val="left"/>
        <w:rPr>
          <w:rFonts w:ascii="Times New Roman" w:cs="Times New Roman" w:eastAsia="Times New Roman" w:hAnsi="Times New Roman"/>
          <w:b w:val="0"/>
          <w:i w:val="0"/>
          <w:smallCaps w:val="0"/>
          <w:strike w:val="0"/>
          <w:color w:val="c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c00000"/>
          <w:sz w:val="20"/>
          <w:szCs w:val="20"/>
          <w:u w:val="none"/>
          <w:shd w:fill="auto" w:val="clear"/>
          <w:vertAlign w:val="baseline"/>
          <w:rtl w:val="0"/>
        </w:rPr>
        <w:t xml:space="preserve">bis) De incurrir un miembro en una falta grave o delito penado por la ley, del cual se tenga constancia fehaciente, el Comité de Dirección podrá decidir su separación inmediata y sumaria; luego, presentado su caso a la Asamblea para su sanción definitiva, podrá prescindirse de la necesidad de “oír previamente la opinión del miembro cuestionado” (PROPUESTA de RRP).</w:t>
      </w:r>
    </w:p>
    <w:p w:rsidR="00000000" w:rsidDel="00000000" w:rsidP="00000000" w:rsidRDefault="00000000" w:rsidRPr="00000000" w14:paraId="0000007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57"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Secretaria explicó que dicha propuesta busca regularizar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ex post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una decisión difícil y sumaria que tomó en diciembre de 2023, de remover a un miembro de CIphER. De igual modo procedió el Comité Directivo de CLAFEN en la misma fecha, con cargo a regularizar su decisión (sancionarla positivamente, conforme a su Reglamento) en la X Asamblea de CLAFEN (Toluca, octubre 2024). Añadieron también un inciso con el mismo tenor.</w:t>
      </w:r>
    </w:p>
    <w:p w:rsidR="00000000" w:rsidDel="00000000" w:rsidP="00000000" w:rsidRDefault="00000000" w:rsidRPr="00000000" w14:paraId="0000007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357" w:right="0" w:hanging="357"/>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la discusión, se decidió modificar la parte respectiva del Reglamento como sigue:</w:t>
      </w:r>
    </w:p>
    <w:p w:rsidR="00000000" w:rsidDel="00000000" w:rsidP="00000000" w:rsidRDefault="00000000" w:rsidRPr="00000000" w14:paraId="00000079">
      <w:pPr>
        <w:ind w:left="708" w:firstLine="0"/>
        <w:jc w:val="both"/>
        <w:rPr>
          <w:sz w:val="21"/>
          <w:szCs w:val="21"/>
        </w:rPr>
      </w:pPr>
      <w:r w:rsidDel="00000000" w:rsidR="00000000" w:rsidRPr="00000000">
        <w:rPr>
          <w:sz w:val="21"/>
          <w:szCs w:val="21"/>
          <w:rtl w:val="0"/>
        </w:rPr>
        <w:t xml:space="preserve">3.4 El único órgano facultado para decidir la separación de un miembro será la Asamblea, la cual procurará en todo caso oír previamente la opinión del miembro cuestionado. Serán causales de separación las siguientes: </w:t>
      </w:r>
    </w:p>
    <w:p w:rsidR="00000000" w:rsidDel="00000000" w:rsidP="00000000" w:rsidRDefault="00000000" w:rsidRPr="00000000" w14:paraId="0000007A">
      <w:pPr>
        <w:ind w:left="1416" w:firstLine="0"/>
        <w:jc w:val="both"/>
        <w:rPr>
          <w:sz w:val="21"/>
          <w:szCs w:val="21"/>
        </w:rPr>
      </w:pPr>
      <w:r w:rsidDel="00000000" w:rsidR="00000000" w:rsidRPr="00000000">
        <w:rPr>
          <w:sz w:val="21"/>
          <w:szCs w:val="21"/>
          <w:rtl w:val="0"/>
        </w:rPr>
        <w:t xml:space="preserve">3.4.1: El notorio desinterés del miembro en las actividades y reuniones del Círculo, y los comportamientos reñidos con la ética académica y pública. </w:t>
      </w:r>
    </w:p>
    <w:p w:rsidR="00000000" w:rsidDel="00000000" w:rsidP="00000000" w:rsidRDefault="00000000" w:rsidRPr="00000000" w14:paraId="0000007B">
      <w:pPr>
        <w:spacing w:after="120" w:lineRule="auto"/>
        <w:ind w:left="1418" w:firstLine="0"/>
        <w:jc w:val="both"/>
        <w:rPr>
          <w:color w:val="0070c0"/>
          <w:sz w:val="21"/>
          <w:szCs w:val="21"/>
        </w:rPr>
      </w:pPr>
      <w:r w:rsidDel="00000000" w:rsidR="00000000" w:rsidRPr="00000000">
        <w:rPr>
          <w:color w:val="0070c0"/>
          <w:sz w:val="21"/>
          <w:szCs w:val="21"/>
          <w:rtl w:val="0"/>
        </w:rPr>
        <w:t xml:space="preserve">3.4.2: De incurrir un miembro en una falta grave o delito penado por la ley, del cual se tenga constancia fehaciente, el Comité de Dirección podrá decidir su separación inmediata y sumaria; luego, presentado su caso a la Asamblea para su sanción definitiva, podrá prescindirse de la necesidad de “oír previamente la opinión del miembro cuestionado”. </w:t>
      </w:r>
    </w:p>
    <w:p w:rsidR="00000000" w:rsidDel="00000000" w:rsidP="00000000" w:rsidRDefault="00000000" w:rsidRPr="00000000" w14:paraId="0000007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Debido a la brevedad de tiempo disponible en esta ocasión, el pleno de la 2ª Asamblea decidió convocar prontamente a una siguiente Asamblea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5"/>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el propósito de revisar el Reglamento en su integridad (u otras propuestas,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como las actividades que los miembros propongan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1"/>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24"/>
          <w:szCs w:val="24"/>
          <w:u w:val="none"/>
          <w:shd w:fill="auto" w:val="clear"/>
          <w:vertAlign w:val="baseline"/>
          <w:rtl w:val="0"/>
        </w:rPr>
        <w:t xml:space="preserve"> Sobre el Grupo de Investigación</w:t>
      </w:r>
    </w:p>
    <w:p w:rsidR="00000000" w:rsidDel="00000000" w:rsidP="00000000" w:rsidRDefault="00000000" w:rsidRPr="00000000" w14:paraId="0000007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el año 2016 CIphER se registró como grupo de investigación de la Dirección de Investigación (DGI) del Vicerrectorado de Investigación de la PUCP (VRI)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6"/>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gracias a la iniciativa de Katherine Mansilla (que apoyaba administrativamente en la DGI) y Arturo Rivas. </w:t>
      </w:r>
    </w:p>
    <w:p w:rsidR="00000000" w:rsidDel="00000000" w:rsidP="00000000" w:rsidRDefault="00000000" w:rsidRPr="00000000" w14:paraId="0000007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Posteriormente, CIphER-Grupo se afilió formalmente, como otros grupos de investigación filosóficos, al Centro de Estudios Filosóficos (CEF) del Departamento de Humanidades.</w:t>
      </w:r>
    </w:p>
    <w:p w:rsidR="00000000" w:rsidDel="00000000" w:rsidP="00000000" w:rsidRDefault="00000000" w:rsidRPr="00000000" w14:paraId="0000008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CIphER-Grupo se constituyó con un grupo de miembros de CIphER-Círculo que, desde el año 2004, incrementaban sus líneas y actividades de investigación vinculándose crecientemente a editoriales e investigadores internacionales.</w:t>
      </w:r>
    </w:p>
    <w:p w:rsidR="00000000" w:rsidDel="00000000" w:rsidP="00000000" w:rsidRDefault="00000000" w:rsidRPr="00000000" w14:paraId="0000008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 igual que CIphER-Círculo, el común denominador de los intereses de CIphER-Grupo es el “reconocimiento de la fenomenología y la hermenéutica como herramientas específicas para la lectura, el análisis y la interpretación de diversos problemas filosóficos tradicionales y/o actuales”. </w:t>
      </w:r>
    </w:p>
    <w:p w:rsidR="00000000" w:rsidDel="00000000" w:rsidP="00000000" w:rsidRDefault="00000000" w:rsidRPr="00000000" w14:paraId="0000008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20" w:before="0" w:line="240" w:lineRule="auto"/>
        <w:ind w:left="357"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 al igual que CIphER-Círculo, el espectro de sus temas de estudio incluye cualquier problema filosófico planteado desde toda rama de la ciencia y la cultura: a los epistemológicos, ético-políticos, estéticos, axiológico-normativos, dialógico-interculturales, histórico-sociológicos, ideológicos, o de violencia y de género; a la interpretación crítico-literaria; a los relativos a la relación “mente-conciencia-cuerpo” (en diálogo con la psicología y psiquiatría); a los físicos, lógico-ontológicos, tecnológicos, etc.</w:t>
      </w:r>
    </w:p>
    <w:p w:rsidR="00000000" w:rsidDel="00000000" w:rsidP="00000000" w:rsidRDefault="00000000" w:rsidRPr="00000000" w14:paraId="0000008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Tipo de actividades de los miembros de CIphER-Grupo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proyectos de investigación individuales o grupales, registrados en sus respectivos planes de trabajo anuales; </w:t>
      </w:r>
    </w:p>
    <w:p w:rsidR="00000000" w:rsidDel="00000000" w:rsidP="00000000" w:rsidRDefault="00000000" w:rsidRPr="00000000" w14:paraId="00000085">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asesorías de tesis, publicaciones; </w:t>
      </w:r>
    </w:p>
    <w:p w:rsidR="00000000" w:rsidDel="00000000" w:rsidP="00000000" w:rsidRDefault="00000000" w:rsidRPr="00000000" w14:paraId="00000086">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presentación y discusión de sus investigaciones en eventos nacionales e internacionales (conferencias, talleres, seminarios y congresos) en el Perú (como, por ejemplo, en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Jornadas de Fenomenología y Hermenéutica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CIphER-Círculo.</w:t>
      </w:r>
    </w:p>
    <w:p w:rsidR="00000000" w:rsidDel="00000000" w:rsidP="00000000" w:rsidRDefault="00000000" w:rsidRPr="00000000" w14:paraId="00000087">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40" w:lineRule="auto"/>
        <w:ind w:left="851"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publicación paulatina de los resultados parciales o totales de sus investigaciones en diversos medios—previamente contrastados durante los eventos por sus pares—como:</w:t>
      </w:r>
    </w:p>
    <w:p w:rsidR="00000000" w:rsidDel="00000000" w:rsidP="00000000" w:rsidRDefault="00000000" w:rsidRPr="00000000" w14:paraId="00000088">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134" w:right="0" w:hanging="283"/>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Repositorio Institucional de PUCP (asignando D.O.I.s individuales a los trabajos) </w:t>
      </w:r>
    </w:p>
    <w:p w:rsidR="00000000" w:rsidDel="00000000" w:rsidP="00000000" w:rsidRDefault="00000000" w:rsidRPr="00000000" w14:paraId="00000089">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134" w:right="0" w:hanging="283"/>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Revistas indexadas </w:t>
      </w:r>
    </w:p>
    <w:p w:rsidR="00000000" w:rsidDel="00000000" w:rsidP="00000000" w:rsidRDefault="00000000" w:rsidRPr="00000000" w14:paraId="0000008A">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120" w:before="0" w:line="240" w:lineRule="auto"/>
        <w:ind w:left="1135" w:right="0" w:hanging="284.0000000000000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Libros arbitrados, individuales o colectivos, nacionales o internacionales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Pr>
        <w:footnoteReference w:customMarkFollows="0" w:id="7"/>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2016: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Proyecto de Investigación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C">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El retorno a las cosas mismas. Fenomenología y hermenéutica aplicadas a problemas contemporáneos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presentado al VRI-DGI, por 3 miembros (profesores principales F. Tubino, M. Chu y R. Rizo-Patrón) y varios de sus asesorados de tesis (de pregrado, maestría y doctorado), incorporados a CIphER-Grupo</w:t>
      </w:r>
    </w:p>
    <w:p w:rsidR="00000000" w:rsidDel="00000000" w:rsidP="00000000" w:rsidRDefault="00000000" w:rsidRPr="00000000" w14:paraId="0000008D">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aprobó en la </w:t>
      </w: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Categoría 3 - Proyectos grupales de investigación básica y aplicada (2 años) (2016-3-0017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luego de una evaluación internacional. </w:t>
      </w:r>
    </w:p>
    <w:p w:rsidR="00000000" w:rsidDel="00000000" w:rsidP="00000000" w:rsidRDefault="00000000" w:rsidRPr="00000000" w14:paraId="0000008E">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desarrolló durante 2017-2018, en tres grupos temáticos dirigidos por los tres profesores (La racionalidad reconsiderada; Entre la estética y la ética; y Entre el conflicto y el diálogo). Informes parciales fueron registrados en la DGI. La investigación se desarrolló mediante reuniones temáticas, así como también generales. Se convocaron conferencias de especialistas extranjeros y talleres, algunos de los cuales también participaron en las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Jornadas de Fenomenología y Hermenéutica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 CIphER-Círculo (2017-2018). </w:t>
      </w:r>
    </w:p>
    <w:p w:rsidR="00000000" w:rsidDel="00000000" w:rsidP="00000000" w:rsidRDefault="00000000" w:rsidRPr="00000000" w14:paraId="0000008F">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 informe final se presentó el 2019 como un proyecto de publicación, con el nuevo título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racionalidad ampliada, Nuevos horizontes de la fenomenología y hermenéutica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DGI lo presentó a evaluación internacional por pares (doble ciego). Fue aprobado luego de subsanar algunas observaciones.</w:t>
      </w:r>
    </w:p>
    <w:p w:rsidR="00000000" w:rsidDel="00000000" w:rsidP="00000000" w:rsidRDefault="00000000" w:rsidRPr="00000000" w14:paraId="00000090">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edición estuvo a cargo de M. Chu y R. Rizo-Patrón, publicándose por la editorial colombiana Aula de Humanidades, 2020, añadiendo 3 colaboraciones de cortesía respectivamente al final de cada una de sus 3 partes: </w:t>
      </w:r>
    </w:p>
    <w:p w:rsidR="00000000" w:rsidDel="00000000" w:rsidP="00000000" w:rsidRDefault="00000000" w:rsidRPr="00000000" w14:paraId="00000091">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Natalie Depraz y Thomas Desmidt (Francia), </w:t>
      </w:r>
    </w:p>
    <w:p w:rsidR="00000000" w:rsidDel="00000000" w:rsidP="00000000" w:rsidRDefault="00000000" w:rsidRPr="00000000" w14:paraId="00000092">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Mariano Crespo (España), y </w:t>
      </w:r>
    </w:p>
    <w:p w:rsidR="00000000" w:rsidDel="00000000" w:rsidP="00000000" w:rsidRDefault="00000000" w:rsidRPr="00000000" w14:paraId="00000093">
      <w:pPr>
        <w:keepNext w:val="0"/>
        <w:keepLines w:val="0"/>
        <w:pageBreakBefore w:val="0"/>
        <w:widowControl w:val="1"/>
        <w:numPr>
          <w:ilvl w:val="2"/>
          <w:numId w:val="10"/>
        </w:numPr>
        <w:pBdr>
          <w:top w:space="0" w:sz="0" w:val="nil"/>
          <w:left w:space="0" w:sz="0" w:val="nil"/>
          <w:bottom w:space="0" w:sz="0" w:val="nil"/>
          <w:right w:space="0" w:sz="0" w:val="nil"/>
          <w:between w:space="0" w:sz="0" w:val="nil"/>
        </w:pBdr>
        <w:shd w:fill="auto" w:val="clear"/>
        <w:spacing w:after="120" w:before="0" w:line="240" w:lineRule="auto"/>
        <w:ind w:left="1797" w:right="0" w:hanging="356.999999999999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Raúl Fornet-Betancourt (Colombia-Alemania).</w:t>
      </w:r>
    </w:p>
    <w:p w:rsidR="00000000" w:rsidDel="00000000" w:rsidP="00000000" w:rsidRDefault="00000000" w:rsidRPr="00000000" w14:paraId="0000009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Otras ediciones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5">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2024: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Métodos y Problemas, perspectivas e investigaciones fenomenológicas actuales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 M. Chu, V. Alarcón y R. Rizo-Patrón, Buenos Aires: Editorial Teseo,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open Access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Incorpora el trabajo de otros miembros de CIphER-Grupo, presentados en el Taller Internacional bilingüe (julio 2018), realizado conjuntamente por CIphER-Círculo, CIphER-Grupo, CEF, y CARP, en homenaje a la memoria de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Lester Embree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6">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120" w:before="0" w:line="240" w:lineRule="auto"/>
        <w:ind w:left="1077"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Múltiples otras publicaciones individuales de sus miembros.</w:t>
      </w:r>
    </w:p>
    <w:p w:rsidR="00000000" w:rsidDel="00000000" w:rsidP="00000000" w:rsidRDefault="00000000" w:rsidRPr="00000000" w14:paraId="0000009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20" w:before="0" w:line="240" w:lineRule="auto"/>
        <w:ind w:left="357"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Evaluaciones del CIphER-Grupo realizadas por la DGI-VRI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98">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120" w:before="0" w:line="240" w:lineRule="auto"/>
        <w:ind w:left="652"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Realizada el 2021 (sobre los años 2018-2019-2020)</w:t>
      </w:r>
    </w:p>
    <w:tbl>
      <w:tblPr>
        <w:tblStyle w:val="Table3"/>
        <w:tblW w:w="10195.999999999998" w:type="dxa"/>
        <w:jc w:val="left"/>
        <w:tblLayout w:type="fixed"/>
        <w:tblLook w:val="0400"/>
      </w:tblPr>
      <w:tblGrid>
        <w:gridCol w:w="1760"/>
        <w:gridCol w:w="1439"/>
        <w:gridCol w:w="1639"/>
        <w:gridCol w:w="1454"/>
        <w:gridCol w:w="1118"/>
        <w:gridCol w:w="1652"/>
        <w:gridCol w:w="1134"/>
        <w:tblGridChange w:id="0">
          <w:tblGrid>
            <w:gridCol w:w="1760"/>
            <w:gridCol w:w="1439"/>
            <w:gridCol w:w="1639"/>
            <w:gridCol w:w="1454"/>
            <w:gridCol w:w="1118"/>
            <w:gridCol w:w="1652"/>
            <w:gridCol w:w="1134"/>
          </w:tblGrid>
        </w:tblGridChange>
      </w:tblGrid>
      <w:tr>
        <w:trPr>
          <w:cantSplit w:val="0"/>
          <w:trHeight w:val="577" w:hRule="atLeast"/>
          <w:tblHeader w:val="0"/>
        </w:trPr>
        <w:tc>
          <w:tcPr>
            <w:tcBorders>
              <w:top w:color="ffffff" w:space="0" w:sz="8" w:val="single"/>
              <w:left w:color="ffffff" w:space="0" w:sz="8" w:val="single"/>
              <w:bottom w:color="ffffff" w:space="0" w:sz="24" w:val="single"/>
              <w:right w:color="ffffff" w:space="0" w:sz="8" w:val="single"/>
            </w:tcBorders>
            <w:shd w:fill="f4b083" w:val="clear"/>
            <w:tcMar>
              <w:top w:w="15.0" w:type="dxa"/>
              <w:left w:w="15.0" w:type="dxa"/>
              <w:bottom w:w="0.0" w:type="dxa"/>
              <w:right w:w="15.0" w:type="dxa"/>
            </w:tcMar>
            <w:vAlign w:val="center"/>
          </w:tcPr>
          <w:p w:rsidR="00000000" w:rsidDel="00000000" w:rsidP="00000000" w:rsidRDefault="00000000" w:rsidRPr="00000000" w14:paraId="0000009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1"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Nuevo Conocimiento</w:t>
            </w:r>
            <w:r w:rsidDel="00000000" w:rsidR="00000000" w:rsidRPr="00000000">
              <w:rPr>
                <w:rtl w:val="0"/>
              </w:rPr>
            </w:r>
          </w:p>
        </w:tc>
        <w:tc>
          <w:tcPr>
            <w:tcBorders>
              <w:top w:color="ffffff" w:space="0" w:sz="8" w:val="single"/>
              <w:left w:color="ffffff" w:space="0" w:sz="8" w:val="single"/>
              <w:bottom w:color="ffffff" w:space="0" w:sz="24" w:val="single"/>
            </w:tcBorders>
            <w:shd w:fill="f4b083" w:val="clear"/>
            <w:tcMar>
              <w:top w:w="15.0" w:type="dxa"/>
              <w:left w:w="15.0" w:type="dxa"/>
              <w:bottom w:w="0.0" w:type="dxa"/>
              <w:right w:w="15.0" w:type="dxa"/>
            </w:tcMar>
            <w:vAlign w:val="center"/>
          </w:tcPr>
          <w:p w:rsidR="00000000" w:rsidDel="00000000" w:rsidP="00000000" w:rsidRDefault="00000000" w:rsidRPr="00000000" w14:paraId="0000009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475" w:right="0" w:hanging="307"/>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Formación</w:t>
            </w:r>
            <w:r w:rsidDel="00000000" w:rsidR="00000000" w:rsidRPr="00000000">
              <w:rPr>
                <w:rtl w:val="0"/>
              </w:rPr>
            </w:r>
          </w:p>
        </w:tc>
        <w:tc>
          <w:tcPr>
            <w:tcBorders>
              <w:top w:color="ffffff" w:space="0" w:sz="8" w:val="single"/>
              <w:bottom w:color="ffffff" w:space="0" w:sz="24" w:val="single"/>
            </w:tcBorders>
            <w:shd w:fill="f4b083" w:val="clear"/>
            <w:tcMar>
              <w:top w:w="15.0" w:type="dxa"/>
              <w:left w:w="15.0" w:type="dxa"/>
              <w:bottom w:w="0.0" w:type="dxa"/>
              <w:right w:w="15.0" w:type="dxa"/>
            </w:tcMar>
            <w:vAlign w:val="center"/>
          </w:tcPr>
          <w:p w:rsidR="00000000" w:rsidDel="00000000" w:rsidP="00000000" w:rsidRDefault="00000000" w:rsidRPr="00000000" w14:paraId="0000009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86"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Divulgación y Difusión</w:t>
            </w:r>
            <w:r w:rsidDel="00000000" w:rsidR="00000000" w:rsidRPr="00000000">
              <w:rPr>
                <w:rtl w:val="0"/>
              </w:rPr>
            </w:r>
          </w:p>
        </w:tc>
        <w:tc>
          <w:tcPr>
            <w:tcBorders>
              <w:top w:color="ffffff" w:space="0" w:sz="8" w:val="single"/>
              <w:bottom w:color="ffffff" w:space="0" w:sz="24" w:val="single"/>
            </w:tcBorders>
            <w:shd w:fill="f4b083" w:val="clear"/>
            <w:tcMar>
              <w:top w:w="15.0" w:type="dxa"/>
              <w:left w:w="15.0" w:type="dxa"/>
              <w:bottom w:w="0.0" w:type="dxa"/>
              <w:right w:w="15.0" w:type="dxa"/>
            </w:tcMar>
            <w:vAlign w:val="center"/>
          </w:tcPr>
          <w:p w:rsidR="00000000" w:rsidDel="00000000" w:rsidP="00000000" w:rsidRDefault="00000000" w:rsidRPr="00000000" w14:paraId="0000009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79" w:right="0" w:hanging="142"/>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Contribución individual</w:t>
            </w:r>
            <w:r w:rsidDel="00000000" w:rsidR="00000000" w:rsidRPr="00000000">
              <w:rPr>
                <w:rtl w:val="0"/>
              </w:rPr>
            </w:r>
          </w:p>
        </w:tc>
        <w:tc>
          <w:tcPr>
            <w:tcBorders>
              <w:top w:color="ffffff" w:space="0" w:sz="8" w:val="single"/>
              <w:bottom w:color="ffffff" w:space="0" w:sz="24" w:val="single"/>
            </w:tcBorders>
            <w:shd w:fill="f4b083" w:val="clear"/>
            <w:tcMar>
              <w:top w:w="15.0" w:type="dxa"/>
              <w:left w:w="15.0" w:type="dxa"/>
              <w:bottom w:w="0.0" w:type="dxa"/>
              <w:right w:w="15.0" w:type="dxa"/>
            </w:tcMar>
            <w:vAlign w:val="center"/>
          </w:tcPr>
          <w:p w:rsidR="00000000" w:rsidDel="00000000" w:rsidP="00000000" w:rsidRDefault="00000000" w:rsidRPr="00000000" w14:paraId="0000009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82" w:right="0" w:hanging="208"/>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Puntaje</w:t>
            </w: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8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Total</w:t>
            </w:r>
            <w:r w:rsidDel="00000000" w:rsidR="00000000" w:rsidRPr="00000000">
              <w:rPr>
                <w:rtl w:val="0"/>
              </w:rPr>
            </w:r>
          </w:p>
        </w:tc>
        <w:tc>
          <w:tcPr>
            <w:tcBorders>
              <w:top w:color="ffffff" w:space="0" w:sz="8" w:val="single"/>
              <w:bottom w:color="ffffff" w:space="0" w:sz="24" w:val="single"/>
            </w:tcBorders>
            <w:shd w:fill="f4b083" w:val="clear"/>
            <w:tcMar>
              <w:top w:w="15.0" w:type="dxa"/>
              <w:left w:w="15.0" w:type="dxa"/>
              <w:bottom w:w="0.0" w:type="dxa"/>
              <w:right w:w="15.0" w:type="dxa"/>
            </w:tcMar>
            <w:vAlign w:val="center"/>
          </w:tcPr>
          <w:p w:rsidR="00000000" w:rsidDel="00000000" w:rsidP="00000000" w:rsidRDefault="00000000" w:rsidRPr="00000000" w14:paraId="0000009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359"/>
              </w:tabs>
              <w:spacing w:after="0" w:before="0" w:line="240" w:lineRule="auto"/>
              <w:ind w:left="257" w:right="0" w:hanging="142"/>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Resultado</w:t>
            </w:r>
            <w:r w:rsidDel="00000000" w:rsidR="00000000" w:rsidRPr="00000000">
              <w:rPr>
                <w:rtl w:val="0"/>
              </w:rPr>
            </w:r>
          </w:p>
        </w:tc>
        <w:tc>
          <w:tcPr>
            <w:tcBorders>
              <w:top w:color="ffffff" w:space="0" w:sz="8" w:val="single"/>
              <w:bottom w:color="ffffff" w:space="0" w:sz="24" w:val="single"/>
              <w:right w:color="ffffff" w:space="0" w:sz="8" w:val="single"/>
            </w:tcBorders>
            <w:shd w:fill="f4b083" w:val="clear"/>
            <w:tcMar>
              <w:top w:w="15.0" w:type="dxa"/>
              <w:left w:w="15.0" w:type="dxa"/>
              <w:bottom w:w="0.0" w:type="dxa"/>
              <w:right w:w="15.0" w:type="dxa"/>
            </w:tcMar>
            <w:vAlign w:val="center"/>
          </w:tcPr>
          <w:p w:rsidR="00000000" w:rsidDel="00000000" w:rsidP="00000000" w:rsidRDefault="00000000" w:rsidRPr="00000000" w14:paraId="000000A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33" w:right="0" w:hanging="23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Categoría</w:t>
            </w:r>
            <w:r w:rsidDel="00000000" w:rsidR="00000000" w:rsidRPr="00000000">
              <w:rPr>
                <w:rtl w:val="0"/>
              </w:rPr>
            </w:r>
          </w:p>
        </w:tc>
      </w:tr>
      <w:tr>
        <w:trPr>
          <w:cantSplit w:val="0"/>
          <w:trHeight w:val="447" w:hRule="atLeast"/>
          <w:tblHeader w:val="0"/>
        </w:trPr>
        <w:tc>
          <w:tcPr>
            <w:tcBorders>
              <w:top w:color="ffffff" w:space="0" w:sz="24" w:val="single"/>
              <w:left w:color="ffffff" w:space="0" w:sz="8" w:val="single"/>
              <w:bottom w:color="ffffff" w:space="0" w:sz="8" w:val="single"/>
              <w:right w:color="ffffff" w:space="0" w:sz="8" w:val="single"/>
            </w:tcBorders>
            <w:shd w:fill="f4b083" w:val="clear"/>
            <w:tcMar>
              <w:top w:w="15.0" w:type="dxa"/>
              <w:left w:w="15.0" w:type="dxa"/>
              <w:bottom w:w="0.0" w:type="dxa"/>
              <w:right w:w="15.0" w:type="dxa"/>
            </w:tcMar>
            <w:vAlign w:val="center"/>
          </w:tcPr>
          <w:p w:rsidR="00000000" w:rsidDel="00000000" w:rsidP="00000000" w:rsidRDefault="00000000" w:rsidRPr="00000000" w14:paraId="000000A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1"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74,0</w:t>
            </w:r>
            <w:r w:rsidDel="00000000" w:rsidR="00000000" w:rsidRPr="00000000">
              <w:rPr>
                <w:rtl w:val="0"/>
              </w:rPr>
            </w:r>
          </w:p>
        </w:tc>
        <w:tc>
          <w:tcPr>
            <w:tcBorders>
              <w:top w:color="ffffff" w:space="0" w:sz="24" w:val="single"/>
              <w:left w:color="ffffff" w:space="0" w:sz="8" w:val="single"/>
              <w:bottom w:color="ffffff" w:space="0" w:sz="8" w:val="single"/>
              <w:right w:color="ffffff" w:space="0" w:sz="8" w:val="single"/>
            </w:tcBorders>
            <w:shd w:fill="f7cbac" w:val="clear"/>
            <w:tcMar>
              <w:top w:w="15.0" w:type="dxa"/>
              <w:left w:w="15.0" w:type="dxa"/>
              <w:bottom w:w="0.0" w:type="dxa"/>
              <w:right w:w="15.0" w:type="dxa"/>
            </w:tcMar>
            <w:vAlign w:val="center"/>
          </w:tcPr>
          <w:p w:rsidR="00000000" w:rsidDel="00000000" w:rsidP="00000000" w:rsidRDefault="00000000" w:rsidRPr="00000000" w14:paraId="000000A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475" w:right="0" w:hanging="307"/>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12,0</w:t>
            </w:r>
          </w:p>
        </w:tc>
        <w:tc>
          <w:tcPr>
            <w:tcBorders>
              <w:top w:color="ffffff" w:space="0" w:sz="24" w:val="single"/>
              <w:left w:color="ffffff" w:space="0" w:sz="8" w:val="single"/>
              <w:bottom w:color="ffffff" w:space="0" w:sz="8" w:val="single"/>
              <w:right w:color="ffffff" w:space="0" w:sz="8" w:val="single"/>
            </w:tcBorders>
            <w:shd w:fill="f7cbac" w:val="clear"/>
            <w:tcMar>
              <w:top w:w="15.0" w:type="dxa"/>
              <w:left w:w="15.0" w:type="dxa"/>
              <w:bottom w:w="0.0" w:type="dxa"/>
              <w:right w:w="15.0" w:type="dxa"/>
            </w:tcMar>
            <w:vAlign w:val="center"/>
          </w:tcPr>
          <w:p w:rsidR="00000000" w:rsidDel="00000000" w:rsidP="00000000" w:rsidRDefault="00000000" w:rsidRPr="00000000" w14:paraId="000000A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86" w:right="0" w:hanging="28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16,5</w:t>
            </w:r>
          </w:p>
        </w:tc>
        <w:tc>
          <w:tcPr>
            <w:tcBorders>
              <w:top w:color="ffffff" w:space="0" w:sz="24" w:val="single"/>
              <w:left w:color="ffffff" w:space="0" w:sz="8" w:val="single"/>
              <w:bottom w:color="ffffff" w:space="0" w:sz="8" w:val="single"/>
              <w:right w:color="ffffff" w:space="0" w:sz="8" w:val="single"/>
            </w:tcBorders>
            <w:shd w:fill="f7cbac" w:val="clear"/>
            <w:tcMar>
              <w:top w:w="15.0" w:type="dxa"/>
              <w:left w:w="15.0" w:type="dxa"/>
              <w:bottom w:w="0.0" w:type="dxa"/>
              <w:right w:w="15.0" w:type="dxa"/>
            </w:tcMar>
            <w:vAlign w:val="center"/>
          </w:tcPr>
          <w:p w:rsidR="00000000" w:rsidDel="00000000" w:rsidP="00000000" w:rsidRDefault="00000000" w:rsidRPr="00000000" w14:paraId="000000A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79" w:right="0" w:hanging="142"/>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4,5</w:t>
            </w:r>
          </w:p>
        </w:tc>
        <w:tc>
          <w:tcPr>
            <w:tcBorders>
              <w:top w:color="ffffff" w:space="0" w:sz="24" w:val="single"/>
              <w:left w:color="ffffff" w:space="0" w:sz="8" w:val="single"/>
              <w:bottom w:color="ffffff" w:space="0" w:sz="8" w:val="single"/>
              <w:right w:color="ffffff" w:space="0" w:sz="8" w:val="single"/>
            </w:tcBorders>
            <w:shd w:fill="f7cbac" w:val="clear"/>
            <w:tcMar>
              <w:top w:w="15.0" w:type="dxa"/>
              <w:left w:w="15.0" w:type="dxa"/>
              <w:bottom w:w="0.0" w:type="dxa"/>
              <w:right w:w="15.0" w:type="dxa"/>
            </w:tcMar>
            <w:vAlign w:val="center"/>
          </w:tcPr>
          <w:p w:rsidR="00000000" w:rsidDel="00000000" w:rsidP="00000000" w:rsidRDefault="00000000" w:rsidRPr="00000000" w14:paraId="000000A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82" w:right="0" w:hanging="208"/>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107</w:t>
            </w:r>
          </w:p>
        </w:tc>
        <w:tc>
          <w:tcPr>
            <w:tcBorders>
              <w:top w:color="ffffff" w:space="0" w:sz="24" w:val="single"/>
              <w:left w:color="ffffff" w:space="0" w:sz="8" w:val="single"/>
              <w:bottom w:color="ffffff" w:space="0" w:sz="8" w:val="single"/>
              <w:right w:color="ffffff" w:space="0" w:sz="8" w:val="single"/>
            </w:tcBorders>
            <w:shd w:fill="f7cbac" w:val="clear"/>
            <w:tcMar>
              <w:top w:w="15.0" w:type="dxa"/>
              <w:left w:w="15.0" w:type="dxa"/>
              <w:bottom w:w="0.0" w:type="dxa"/>
              <w:right w:w="15.0" w:type="dxa"/>
            </w:tcMar>
            <w:vAlign w:val="center"/>
          </w:tcPr>
          <w:p w:rsidR="00000000" w:rsidDel="00000000" w:rsidP="00000000" w:rsidRDefault="00000000" w:rsidRPr="00000000" w14:paraId="000000A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359"/>
              </w:tabs>
              <w:spacing w:after="0" w:before="0" w:line="240" w:lineRule="auto"/>
              <w:ind w:left="257" w:right="0" w:hanging="142"/>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RATIFICADO</w:t>
            </w:r>
          </w:p>
        </w:tc>
        <w:tc>
          <w:tcPr>
            <w:tcBorders>
              <w:top w:color="ffffff" w:space="0" w:sz="24" w:val="single"/>
              <w:left w:color="ffffff" w:space="0" w:sz="8" w:val="single"/>
              <w:bottom w:color="ffffff" w:space="0" w:sz="8" w:val="single"/>
              <w:right w:color="ffffff" w:space="0" w:sz="8" w:val="single"/>
            </w:tcBorders>
            <w:shd w:fill="f7cbac" w:val="clear"/>
            <w:tcMar>
              <w:top w:w="15.0" w:type="dxa"/>
              <w:left w:w="15.0" w:type="dxa"/>
              <w:bottom w:w="0.0" w:type="dxa"/>
              <w:right w:w="15.0" w:type="dxa"/>
            </w:tcMar>
            <w:vAlign w:val="center"/>
          </w:tcPr>
          <w:p w:rsidR="00000000" w:rsidDel="00000000" w:rsidP="00000000" w:rsidRDefault="00000000" w:rsidRPr="00000000" w14:paraId="000000A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33" w:right="0" w:hanging="233"/>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A</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8">
            <w:pPr>
              <w:rPr>
                <w:sz w:val="18"/>
                <w:szCs w:val="18"/>
              </w:rPr>
            </w:pPr>
            <w:r w:rsidDel="00000000" w:rsidR="00000000" w:rsidRPr="00000000">
              <w:rPr>
                <w:sz w:val="20"/>
                <w:szCs w:val="20"/>
                <w:rtl w:val="0"/>
              </w:rPr>
              <w:t xml:space="preserve"> (Ranking: </w:t>
            </w:r>
            <w:r w:rsidDel="00000000" w:rsidR="00000000" w:rsidRPr="00000000">
              <w:rPr>
                <w:sz w:val="18"/>
                <w:szCs w:val="18"/>
                <w:rtl w:val="0"/>
              </w:rPr>
              <w:t xml:space="preserve">52°)</w:t>
            </w:r>
          </w:p>
          <w:p w:rsidR="00000000" w:rsidDel="00000000" w:rsidP="00000000" w:rsidRDefault="00000000" w:rsidRPr="00000000" w14:paraId="000000A9">
            <w:pPr>
              <w:rPr>
                <w:sz w:val="20"/>
                <w:szCs w:val="20"/>
              </w:rPr>
            </w:pPr>
            <w:r w:rsidDel="00000000" w:rsidR="00000000" w:rsidRPr="00000000">
              <w:rPr>
                <w:rtl w:val="0"/>
              </w:rPr>
            </w:r>
          </w:p>
        </w:tc>
      </w:tr>
    </w:tbl>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120" w:before="0" w:line="240" w:lineRule="auto"/>
        <w:ind w:left="652" w:right="0" w:hanging="35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Realizada el 2024 (sobre los años 2021-2022-2023)</w:t>
      </w:r>
    </w:p>
    <w:tbl>
      <w:tblPr>
        <w:tblStyle w:val="Table4"/>
        <w:tblW w:w="9923.0" w:type="dxa"/>
        <w:jc w:val="left"/>
        <w:tblInd w:w="-118.0" w:type="dxa"/>
        <w:tblLayout w:type="fixed"/>
        <w:tblLook w:val="0400"/>
      </w:tblPr>
      <w:tblGrid>
        <w:gridCol w:w="1386"/>
        <w:gridCol w:w="1316"/>
        <w:gridCol w:w="1056"/>
        <w:gridCol w:w="1401"/>
        <w:gridCol w:w="1247"/>
        <w:gridCol w:w="816"/>
        <w:gridCol w:w="1363"/>
        <w:gridCol w:w="1338"/>
        <w:tblGridChange w:id="0">
          <w:tblGrid>
            <w:gridCol w:w="1386"/>
            <w:gridCol w:w="1316"/>
            <w:gridCol w:w="1056"/>
            <w:gridCol w:w="1401"/>
            <w:gridCol w:w="1247"/>
            <w:gridCol w:w="816"/>
            <w:gridCol w:w="1363"/>
            <w:gridCol w:w="1338"/>
          </w:tblGrid>
        </w:tblGridChange>
      </w:tblGrid>
      <w:tr>
        <w:trPr>
          <w:cantSplit w:val="0"/>
          <w:trHeight w:val="758" w:hRule="atLeast"/>
          <w:tblHeader w:val="0"/>
        </w:trPr>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AC">
            <w:pPr>
              <w:rPr>
                <w:b w:val="1"/>
                <w:sz w:val="18"/>
                <w:szCs w:val="18"/>
              </w:rPr>
            </w:pPr>
            <w:r w:rsidDel="00000000" w:rsidR="00000000" w:rsidRPr="00000000">
              <w:rPr>
                <w:b w:val="1"/>
                <w:sz w:val="18"/>
                <w:szCs w:val="18"/>
                <w:rtl w:val="0"/>
              </w:rPr>
              <w:t xml:space="preserve">Nombre del grup</w:t>
            </w:r>
          </w:p>
        </w:tc>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AD">
            <w:pPr>
              <w:rPr>
                <w:b w:val="1"/>
                <w:sz w:val="18"/>
                <w:szCs w:val="18"/>
              </w:rPr>
            </w:pPr>
            <w:r w:rsidDel="00000000" w:rsidR="00000000" w:rsidRPr="00000000">
              <w:rPr>
                <w:b w:val="1"/>
                <w:sz w:val="18"/>
                <w:szCs w:val="18"/>
                <w:rtl w:val="0"/>
              </w:rPr>
              <w:t xml:space="preserve">Nuevo </w:t>
            </w:r>
          </w:p>
          <w:p w:rsidR="00000000" w:rsidDel="00000000" w:rsidP="00000000" w:rsidRDefault="00000000" w:rsidRPr="00000000" w14:paraId="000000AE">
            <w:pPr>
              <w:rPr>
                <w:b w:val="1"/>
                <w:sz w:val="18"/>
                <w:szCs w:val="18"/>
              </w:rPr>
            </w:pPr>
            <w:r w:rsidDel="00000000" w:rsidR="00000000" w:rsidRPr="00000000">
              <w:rPr>
                <w:b w:val="1"/>
                <w:sz w:val="18"/>
                <w:szCs w:val="18"/>
                <w:rtl w:val="0"/>
              </w:rPr>
              <w:t xml:space="preserve">Conocimiento</w:t>
            </w:r>
          </w:p>
        </w:tc>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AF">
            <w:pPr>
              <w:rPr>
                <w:b w:val="1"/>
                <w:sz w:val="18"/>
                <w:szCs w:val="18"/>
              </w:rPr>
            </w:pPr>
            <w:r w:rsidDel="00000000" w:rsidR="00000000" w:rsidRPr="00000000">
              <w:rPr>
                <w:b w:val="1"/>
                <w:sz w:val="18"/>
                <w:szCs w:val="18"/>
                <w:rtl w:val="0"/>
              </w:rPr>
              <w:t xml:space="preserve">Formación</w:t>
            </w:r>
          </w:p>
        </w:tc>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B0">
            <w:pPr>
              <w:rPr>
                <w:b w:val="1"/>
                <w:sz w:val="18"/>
                <w:szCs w:val="18"/>
              </w:rPr>
            </w:pPr>
            <w:r w:rsidDel="00000000" w:rsidR="00000000" w:rsidRPr="00000000">
              <w:rPr>
                <w:b w:val="1"/>
                <w:sz w:val="18"/>
                <w:szCs w:val="18"/>
                <w:rtl w:val="0"/>
              </w:rPr>
              <w:t xml:space="preserve">Divulgación y Difusión</w:t>
            </w:r>
          </w:p>
        </w:tc>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B1">
            <w:pPr>
              <w:rPr>
                <w:b w:val="1"/>
                <w:sz w:val="18"/>
                <w:szCs w:val="18"/>
              </w:rPr>
            </w:pPr>
            <w:r w:rsidDel="00000000" w:rsidR="00000000" w:rsidRPr="00000000">
              <w:rPr>
                <w:b w:val="1"/>
                <w:sz w:val="18"/>
                <w:szCs w:val="18"/>
                <w:rtl w:val="0"/>
              </w:rPr>
              <w:t xml:space="preserve">Contribución Individual </w:t>
            </w:r>
          </w:p>
        </w:tc>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B2">
            <w:pPr>
              <w:rPr>
                <w:b w:val="1"/>
                <w:sz w:val="18"/>
                <w:szCs w:val="18"/>
              </w:rPr>
            </w:pPr>
            <w:r w:rsidDel="00000000" w:rsidR="00000000" w:rsidRPr="00000000">
              <w:rPr>
                <w:b w:val="1"/>
                <w:sz w:val="18"/>
                <w:szCs w:val="18"/>
                <w:rtl w:val="0"/>
              </w:rPr>
              <w:t xml:space="preserve">Puntaje total</w:t>
            </w:r>
          </w:p>
        </w:tc>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B3">
            <w:pPr>
              <w:rPr>
                <w:b w:val="1"/>
                <w:sz w:val="18"/>
                <w:szCs w:val="18"/>
              </w:rPr>
            </w:pPr>
            <w:r w:rsidDel="00000000" w:rsidR="00000000" w:rsidRPr="00000000">
              <w:rPr>
                <w:b w:val="1"/>
                <w:sz w:val="18"/>
                <w:szCs w:val="18"/>
                <w:rtl w:val="0"/>
              </w:rPr>
              <w:t xml:space="preserve">Resultado</w:t>
            </w:r>
          </w:p>
        </w:tc>
        <w:tc>
          <w:tcPr>
            <w:tcBorders>
              <w:top w:color="ffffff" w:space="0" w:sz="8" w:val="single"/>
              <w:left w:color="ffffff" w:space="0" w:sz="8" w:val="single"/>
              <w:bottom w:color="ffffff" w:space="0" w:sz="24"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B4">
            <w:pPr>
              <w:rPr>
                <w:b w:val="1"/>
                <w:sz w:val="18"/>
                <w:szCs w:val="18"/>
              </w:rPr>
            </w:pPr>
            <w:r w:rsidDel="00000000" w:rsidR="00000000" w:rsidRPr="00000000">
              <w:rPr>
                <w:b w:val="1"/>
                <w:sz w:val="18"/>
                <w:szCs w:val="18"/>
                <w:rtl w:val="0"/>
              </w:rPr>
              <w:t xml:space="preserve">Categoría</w:t>
            </w:r>
          </w:p>
        </w:tc>
      </w:tr>
      <w:tr>
        <w:trPr>
          <w:cantSplit w:val="0"/>
          <w:trHeight w:val="877" w:hRule="atLeast"/>
          <w:tblHeader w:val="0"/>
        </w:trPr>
        <w:tc>
          <w:tcPr>
            <w:tcBorders>
              <w:top w:color="ffffff" w:space="0" w:sz="24" w:val="single"/>
              <w:left w:color="ffffff" w:space="0" w:sz="8" w:val="single"/>
              <w:bottom w:color="ffffff" w:space="0" w:sz="8" w:val="single"/>
              <w:right w:color="ffffff" w:space="0" w:sz="8" w:val="single"/>
            </w:tcBorders>
            <w:shd w:fill="8eaadb" w:val="clear"/>
            <w:tcMar>
              <w:top w:w="15.0" w:type="dxa"/>
              <w:left w:w="108.0" w:type="dxa"/>
              <w:bottom w:w="0.0" w:type="dxa"/>
              <w:right w:w="108.0" w:type="dxa"/>
            </w:tcMar>
            <w:vAlign w:val="center"/>
          </w:tcPr>
          <w:p w:rsidR="00000000" w:rsidDel="00000000" w:rsidP="00000000" w:rsidRDefault="00000000" w:rsidRPr="00000000" w14:paraId="000000B5">
            <w:pPr>
              <w:rPr>
                <w:b w:val="1"/>
                <w:sz w:val="18"/>
                <w:szCs w:val="18"/>
              </w:rPr>
            </w:pPr>
            <w:r w:rsidDel="00000000" w:rsidR="00000000" w:rsidRPr="00000000">
              <w:rPr>
                <w:b w:val="1"/>
                <w:sz w:val="16"/>
                <w:szCs w:val="16"/>
                <w:rtl w:val="0"/>
              </w:rPr>
              <w:t xml:space="preserve">Círculo Peruano de Fenomenología y Hermenéutica</w:t>
            </w:r>
            <w:r w:rsidDel="00000000" w:rsidR="00000000" w:rsidRPr="00000000">
              <w:rPr>
                <w:rtl w:val="0"/>
              </w:rPr>
            </w:r>
          </w:p>
        </w:tc>
        <w:tc>
          <w:tcPr>
            <w:tcBorders>
              <w:top w:color="ffffff" w:space="0" w:sz="24" w:val="single"/>
              <w:left w:color="ffffff" w:space="0" w:sz="8" w:val="single"/>
              <w:bottom w:color="ffffff" w:space="0" w:sz="8" w:val="single"/>
              <w:right w:color="ffffff" w:space="0" w:sz="8" w:val="single"/>
            </w:tcBorders>
            <w:shd w:fill="cfd5ea" w:val="clear"/>
            <w:tcMar>
              <w:top w:w="15.0" w:type="dxa"/>
              <w:left w:w="108.0" w:type="dxa"/>
              <w:bottom w:w="0.0" w:type="dxa"/>
              <w:right w:w="108.0" w:type="dxa"/>
            </w:tcMar>
            <w:vAlign w:val="center"/>
          </w:tcPr>
          <w:p w:rsidR="00000000" w:rsidDel="00000000" w:rsidP="00000000" w:rsidRDefault="00000000" w:rsidRPr="00000000" w14:paraId="000000B6">
            <w:pPr>
              <w:rPr>
                <w:b w:val="1"/>
                <w:sz w:val="18"/>
                <w:szCs w:val="18"/>
              </w:rPr>
            </w:pPr>
            <w:r w:rsidDel="00000000" w:rsidR="00000000" w:rsidRPr="00000000">
              <w:rPr>
                <w:b w:val="1"/>
                <w:sz w:val="18"/>
                <w:szCs w:val="18"/>
                <w:rtl w:val="0"/>
              </w:rPr>
              <w:t xml:space="preserve">51.00</w:t>
            </w:r>
          </w:p>
        </w:tc>
        <w:tc>
          <w:tcPr>
            <w:tcBorders>
              <w:top w:color="ffffff" w:space="0" w:sz="24" w:val="single"/>
              <w:left w:color="ffffff" w:space="0" w:sz="8" w:val="single"/>
              <w:bottom w:color="ffffff" w:space="0" w:sz="8" w:val="single"/>
              <w:right w:color="ffffff" w:space="0" w:sz="8" w:val="single"/>
            </w:tcBorders>
            <w:shd w:fill="cfd5ea" w:val="clear"/>
            <w:tcMar>
              <w:top w:w="15.0" w:type="dxa"/>
              <w:left w:w="108.0" w:type="dxa"/>
              <w:bottom w:w="0.0" w:type="dxa"/>
              <w:right w:w="108.0" w:type="dxa"/>
            </w:tcMar>
            <w:vAlign w:val="center"/>
          </w:tcPr>
          <w:p w:rsidR="00000000" w:rsidDel="00000000" w:rsidP="00000000" w:rsidRDefault="00000000" w:rsidRPr="00000000" w14:paraId="000000B7">
            <w:pPr>
              <w:rPr>
                <w:b w:val="1"/>
                <w:sz w:val="18"/>
                <w:szCs w:val="18"/>
              </w:rPr>
            </w:pPr>
            <w:r w:rsidDel="00000000" w:rsidR="00000000" w:rsidRPr="00000000">
              <w:rPr>
                <w:b w:val="1"/>
                <w:sz w:val="18"/>
                <w:szCs w:val="18"/>
                <w:rtl w:val="0"/>
              </w:rPr>
              <w:t xml:space="preserve">29.50</w:t>
            </w:r>
          </w:p>
        </w:tc>
        <w:tc>
          <w:tcPr>
            <w:tcBorders>
              <w:top w:color="ffffff" w:space="0" w:sz="24" w:val="single"/>
              <w:left w:color="ffffff" w:space="0" w:sz="8" w:val="single"/>
              <w:bottom w:color="ffffff" w:space="0" w:sz="8" w:val="single"/>
              <w:right w:color="ffffff" w:space="0" w:sz="8" w:val="single"/>
            </w:tcBorders>
            <w:shd w:fill="cfd5ea" w:val="clear"/>
            <w:tcMar>
              <w:top w:w="15.0" w:type="dxa"/>
              <w:left w:w="108.0" w:type="dxa"/>
              <w:bottom w:w="0.0" w:type="dxa"/>
              <w:right w:w="108.0" w:type="dxa"/>
            </w:tcMar>
            <w:vAlign w:val="center"/>
          </w:tcPr>
          <w:p w:rsidR="00000000" w:rsidDel="00000000" w:rsidP="00000000" w:rsidRDefault="00000000" w:rsidRPr="00000000" w14:paraId="000000B8">
            <w:pPr>
              <w:rPr>
                <w:b w:val="1"/>
                <w:sz w:val="18"/>
                <w:szCs w:val="18"/>
              </w:rPr>
            </w:pPr>
            <w:r w:rsidDel="00000000" w:rsidR="00000000" w:rsidRPr="00000000">
              <w:rPr>
                <w:b w:val="1"/>
                <w:sz w:val="18"/>
                <w:szCs w:val="18"/>
                <w:rtl w:val="0"/>
              </w:rPr>
              <w:t xml:space="preserve">61.75</w:t>
            </w:r>
          </w:p>
        </w:tc>
        <w:tc>
          <w:tcPr>
            <w:tcBorders>
              <w:top w:color="ffffff" w:space="0" w:sz="24" w:val="single"/>
              <w:left w:color="ffffff" w:space="0" w:sz="8" w:val="single"/>
              <w:bottom w:color="ffffff" w:space="0" w:sz="8" w:val="single"/>
              <w:right w:color="ffffff" w:space="0" w:sz="8" w:val="single"/>
            </w:tcBorders>
            <w:shd w:fill="cfd5ea" w:val="clear"/>
            <w:tcMar>
              <w:top w:w="15.0" w:type="dxa"/>
              <w:left w:w="108.0" w:type="dxa"/>
              <w:bottom w:w="0.0" w:type="dxa"/>
              <w:right w:w="108.0" w:type="dxa"/>
            </w:tcMar>
            <w:vAlign w:val="center"/>
          </w:tcPr>
          <w:p w:rsidR="00000000" w:rsidDel="00000000" w:rsidP="00000000" w:rsidRDefault="00000000" w:rsidRPr="00000000" w14:paraId="000000B9">
            <w:pPr>
              <w:rPr>
                <w:b w:val="1"/>
                <w:sz w:val="18"/>
                <w:szCs w:val="18"/>
              </w:rPr>
            </w:pPr>
            <w:r w:rsidDel="00000000" w:rsidR="00000000" w:rsidRPr="00000000">
              <w:rPr>
                <w:b w:val="1"/>
                <w:sz w:val="18"/>
                <w:szCs w:val="18"/>
                <w:rtl w:val="0"/>
              </w:rPr>
              <w:t xml:space="preserve">2.50</w:t>
            </w:r>
          </w:p>
        </w:tc>
        <w:tc>
          <w:tcPr>
            <w:tcBorders>
              <w:top w:color="ffffff" w:space="0" w:sz="24" w:val="single"/>
              <w:left w:color="ffffff" w:space="0" w:sz="8" w:val="single"/>
              <w:bottom w:color="ffffff" w:space="0" w:sz="8" w:val="single"/>
              <w:right w:color="ffffff" w:space="0" w:sz="8" w:val="single"/>
            </w:tcBorders>
            <w:shd w:fill="cfd5ea" w:val="clear"/>
            <w:tcMar>
              <w:top w:w="15.0" w:type="dxa"/>
              <w:left w:w="108.0" w:type="dxa"/>
              <w:bottom w:w="0.0" w:type="dxa"/>
              <w:right w:w="108.0" w:type="dxa"/>
            </w:tcMar>
            <w:vAlign w:val="center"/>
          </w:tcPr>
          <w:p w:rsidR="00000000" w:rsidDel="00000000" w:rsidP="00000000" w:rsidRDefault="00000000" w:rsidRPr="00000000" w14:paraId="000000BA">
            <w:pPr>
              <w:rPr>
                <w:b w:val="1"/>
                <w:sz w:val="18"/>
                <w:szCs w:val="18"/>
              </w:rPr>
            </w:pPr>
            <w:r w:rsidDel="00000000" w:rsidR="00000000" w:rsidRPr="00000000">
              <w:rPr>
                <w:b w:val="1"/>
                <w:sz w:val="18"/>
                <w:szCs w:val="18"/>
                <w:rtl w:val="0"/>
              </w:rPr>
              <w:t xml:space="preserve">144.75</w:t>
            </w:r>
          </w:p>
        </w:tc>
        <w:tc>
          <w:tcPr>
            <w:tcBorders>
              <w:top w:color="ffffff" w:space="0" w:sz="24" w:val="single"/>
              <w:left w:color="ffffff" w:space="0" w:sz="8" w:val="single"/>
              <w:bottom w:color="ffffff" w:space="0" w:sz="8" w:val="single"/>
              <w:right w:color="ffffff" w:space="0" w:sz="8" w:val="single"/>
            </w:tcBorders>
            <w:shd w:fill="cfd5ea" w:val="clear"/>
            <w:tcMar>
              <w:top w:w="15.0" w:type="dxa"/>
              <w:left w:w="108.0" w:type="dxa"/>
              <w:bottom w:w="0.0" w:type="dxa"/>
              <w:right w:w="108.0" w:type="dxa"/>
            </w:tcMar>
            <w:vAlign w:val="center"/>
          </w:tcPr>
          <w:p w:rsidR="00000000" w:rsidDel="00000000" w:rsidP="00000000" w:rsidRDefault="00000000" w:rsidRPr="00000000" w14:paraId="000000BB">
            <w:pPr>
              <w:rPr>
                <w:b w:val="1"/>
                <w:sz w:val="18"/>
                <w:szCs w:val="18"/>
              </w:rPr>
            </w:pPr>
            <w:r w:rsidDel="00000000" w:rsidR="00000000" w:rsidRPr="00000000">
              <w:rPr>
                <w:b w:val="1"/>
                <w:sz w:val="18"/>
                <w:szCs w:val="18"/>
                <w:rtl w:val="0"/>
              </w:rPr>
              <w:t xml:space="preserve">RATIFICADO</w:t>
            </w:r>
          </w:p>
        </w:tc>
        <w:tc>
          <w:tcPr>
            <w:tcBorders>
              <w:top w:color="ffffff" w:space="0" w:sz="24" w:val="single"/>
              <w:left w:color="ffffff" w:space="0" w:sz="8" w:val="single"/>
              <w:bottom w:color="ffffff" w:space="0" w:sz="8" w:val="single"/>
              <w:right w:color="ffffff" w:space="0" w:sz="8" w:val="single"/>
            </w:tcBorders>
            <w:shd w:fill="cfd5ea" w:val="clear"/>
            <w:tcMar>
              <w:top w:w="15.0" w:type="dxa"/>
              <w:left w:w="108.0" w:type="dxa"/>
              <w:bottom w:w="0.0" w:type="dxa"/>
              <w:right w:w="108.0" w:type="dxa"/>
            </w:tcMar>
            <w:vAlign w:val="center"/>
          </w:tcPr>
          <w:p w:rsidR="00000000" w:rsidDel="00000000" w:rsidP="00000000" w:rsidRDefault="00000000" w:rsidRPr="00000000" w14:paraId="000000BC">
            <w:pPr>
              <w:rPr>
                <w:b w:val="1"/>
                <w:sz w:val="18"/>
                <w:szCs w:val="18"/>
              </w:rPr>
            </w:pPr>
            <w:r w:rsidDel="00000000" w:rsidR="00000000" w:rsidRPr="00000000">
              <w:rPr>
                <w:b w:val="1"/>
                <w:sz w:val="32"/>
                <w:szCs w:val="32"/>
                <w:rtl w:val="0"/>
              </w:rPr>
              <w:t xml:space="preserve">A</w:t>
            </w:r>
            <w:r w:rsidDel="00000000" w:rsidR="00000000" w:rsidRPr="00000000">
              <w:rPr>
                <w:rtl w:val="0"/>
              </w:rPr>
            </w:r>
          </w:p>
        </w:tc>
      </w:tr>
    </w:tbl>
    <w:p w:rsidR="00000000" w:rsidDel="00000000" w:rsidP="00000000" w:rsidRDefault="00000000" w:rsidRPr="00000000" w14:paraId="000000B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120" w:line="240" w:lineRule="auto"/>
        <w:ind w:left="357" w:right="0" w:hanging="357"/>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CIphER-Grupo tuvo la más alta calificación asignada por la DGI a un Grupo de Investigación. El premio consiste en la RATIFICACIÓN del Grupo como uno de interés para la PUCP (VRI-DGI). La segunda evaluación añadió una nota respecto de CIphER-Grupo:</w:t>
      </w:r>
      <w:r w:rsidDel="00000000" w:rsidR="00000000" w:rsidRPr="00000000">
        <w:rPr>
          <w:rtl w:val="0"/>
        </w:rPr>
      </w:r>
    </w:p>
    <w:p w:rsidR="00000000" w:rsidDel="00000000" w:rsidP="00000000" w:rsidRDefault="00000000" w:rsidRPr="00000000" w14:paraId="000000BE">
      <w:pPr>
        <w:spacing w:after="120" w:lineRule="auto"/>
        <w:ind w:left="1418" w:firstLine="0"/>
        <w:rPr>
          <w:color w:val="0070c0"/>
          <w:sz w:val="21"/>
          <w:szCs w:val="21"/>
        </w:rPr>
      </w:pPr>
      <w:r w:rsidDel="00000000" w:rsidR="00000000" w:rsidRPr="00000000">
        <w:rPr>
          <w:color w:val="0070c0"/>
          <w:sz w:val="21"/>
          <w:szCs w:val="21"/>
          <w:rtl w:val="0"/>
        </w:rPr>
        <w:t xml:space="preserve">“Conforme a lo indicado, los grupos en categoría A presentaron un nivel de producción muy superior al esperado y, por ello, felicitamos de manera especial, a todos los integrantes del grupo por su compromiso y valioso aporte al desarrollo de la investigación en nuestro país.”</w:t>
      </w:r>
    </w:p>
    <w:p w:rsidR="00000000" w:rsidDel="00000000" w:rsidP="00000000" w:rsidRDefault="00000000" w:rsidRPr="00000000" w14:paraId="000000B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sólo el/la responsable eventual del grupo puede solicitar fondos de asignación a la investigación (FAI) para sus actividades, sino cualquiera de sus miembros.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Arturo Rivas sugirió examinar las Reglas de la DGI al respecto.</w:t>
      </w:r>
      <w:r w:rsidDel="00000000" w:rsidR="00000000" w:rsidRPr="00000000">
        <w:rPr>
          <w:rFonts w:ascii="Times New Roman" w:cs="Times New Roman" w:eastAsia="Times New Roman" w:hAnsi="Times New Roman"/>
          <w:b w:val="1"/>
          <w:i w:val="0"/>
          <w:smallCaps w:val="1"/>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Los responsables de CIphER-Grupo y de la Secretaría de CIphER-Círculo no tienen que coincidir. En última instancia, se supone que ello depende del Jefe del Departamento y de los miembros de CIphER-Grupo, así como de su disponibilidad.</w:t>
      </w:r>
    </w:p>
    <w:p w:rsidR="00000000" w:rsidDel="00000000" w:rsidP="00000000" w:rsidRDefault="00000000" w:rsidRPr="00000000" w14:paraId="000000C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1"/>
          <w:i w:val="0"/>
          <w:smallCaps w:val="1"/>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24"/>
          <w:szCs w:val="24"/>
          <w:u w:val="none"/>
          <w:shd w:fill="auto" w:val="clear"/>
          <w:vertAlign w:val="baseline"/>
          <w:rtl w:val="0"/>
        </w:rPr>
        <w:t xml:space="preserve">Nuevas Elecciones - Renovación de Cargos</w:t>
      </w:r>
    </w:p>
    <w:p w:rsidR="00000000" w:rsidDel="00000000" w:rsidP="00000000" w:rsidRDefault="00000000" w:rsidRPr="00000000" w14:paraId="000000C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Pasados 20 años, y no habiéndose renovado los cargos responsables de la Secretaría y el Comité de Dirección (conforme a lo indicado en disposiciones transitorias del Reglamento de 2004), cabe urgentemente una renovación de los mismos.</w:t>
      </w:r>
    </w:p>
    <w:p w:rsidR="00000000" w:rsidDel="00000000" w:rsidP="00000000" w:rsidRDefault="00000000" w:rsidRPr="00000000" w14:paraId="000000C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Después de múltiples propuestas y habiéndose escuchado la opinión de los asistentes a la 2ª Asamblea, se aprobó la designación—hasta aproximadamente uno o dos años—de Víctor Krebs como Secretario de CIphER, el cual contará con todo el apoyo de la </w:t>
      </w:r>
      <w:r w:rsidDel="00000000" w:rsidR="00000000" w:rsidRPr="00000000">
        <w:rPr>
          <w:rtl w:val="0"/>
        </w:rPr>
        <w:t xml:space="preserve">Secretaría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renunciante (que sigue hasta el 2026 como Secretaria de CLAFEN), la Asistente de Secretaría, y del nuevo Comité de Dirección.</w:t>
      </w:r>
    </w:p>
    <w:p w:rsidR="00000000" w:rsidDel="00000000" w:rsidP="00000000" w:rsidRDefault="00000000" w:rsidRPr="00000000" w14:paraId="000000C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284" w:right="0" w:hanging="284"/>
        <w:jc w:val="left"/>
        <w:rPr>
          <w:rFonts w:ascii="Times New Roman" w:cs="Times New Roman" w:eastAsia="Times New Roman" w:hAnsi="Times New Roman"/>
          <w:b w:val="0"/>
          <w:i w:val="0"/>
          <w:smallCaps w:val="0"/>
          <w:strike w:val="0"/>
          <w:color w:val="000000"/>
          <w:sz w:val="24"/>
          <w:szCs w:val="24"/>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La 2ª Asamblea aprobó, asimismo, que el nuevo Comité de Dirección, esté compuesto por </w:t>
      </w:r>
      <w:r w:rsidDel="00000000" w:rsidR="00000000" w:rsidRPr="00000000">
        <w:rPr>
          <w:rtl w:val="0"/>
        </w:rPr>
        <w:t xml:space="preserve">Victor Casallo, Mariana Chu, Victor Krebs, Salomón Lerner, Katherine Mansilla, Cecilia Monteagudo y Rosemary Rizo-Patrón.  </w:t>
      </w:r>
    </w:p>
    <w:p w:rsidR="00000000" w:rsidDel="00000000" w:rsidP="00000000" w:rsidRDefault="00000000" w:rsidRPr="00000000" w14:paraId="000000C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20" w:before="0" w:line="240" w:lineRule="auto"/>
        <w:ind w:left="284" w:right="0" w:hanging="28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Actividades para el 2025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C6">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Pepi Patrón señaló que se trata de un año conmemorativo de la obra de Hannah Arendt. Ella está de sabático, pero se motiva a otros miembros a realizar alguna actividad en nombre de la filósofa.</w:t>
      </w:r>
    </w:p>
    <w:p w:rsidR="00000000" w:rsidDel="00000000" w:rsidP="00000000" w:rsidRDefault="00000000" w:rsidRPr="00000000" w14:paraId="000000C7">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 Rizo-Patrón (que ya no organizará las Jornadas de Fenomenología y Hermenéutica), reactiva sin embargo 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Seminario Permanente de lecturas de Husserl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M. Chu y en coordinación con CIphER-Grupo, el Seminario del IRA, el CEF/Depto. de Humanidades, y LLCCHH). </w:t>
      </w: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Tema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“Naturaleza y Espíritu en la fenomenología de Husserl. Perspectivas epistemológicas, antropológicas y éticas”. </w:t>
      </w: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Textos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Edmund Husserl,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Naturaleza y espíritu, conferencia de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1919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y Curso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del Semestre de verano de 1919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(Buenos Aires: SB/UNAM, 2024); y “Excurso: Naturaleza y Espíritu” (279–338) y § 23–24 (Cap.6, 129–134 ), y Anexos V–VI (350–353) de E. Husserl,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Introducción a la ética. Lecciones de los semestres de verano 1920 y 1924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(Madrid: Trotta, 2020) (coordinación </w:t>
      </w:r>
      <w:hyperlink r:id="rId11">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cipher@pucp.edu.pe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C8">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 Rizo-Patrón, Vania Alarcón y Bruna Uceda editarán dos libros que se presentarán tentativamente al Departamento de Humanidades para publicaciones indexadas:</w:t>
      </w:r>
    </w:p>
    <w:p w:rsidR="00000000" w:rsidDel="00000000" w:rsidP="00000000" w:rsidRDefault="00000000" w:rsidRPr="00000000" w14:paraId="000000C9">
      <w:pPr>
        <w:keepNext w:val="0"/>
        <w:keepLines w:val="0"/>
        <w:pageBreakBefore w:val="0"/>
        <w:widowControl w:val="1"/>
        <w:numPr>
          <w:ilvl w:val="2"/>
          <w:numId w:val="9"/>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Libro con una selección de los mejores trabajos de los 20 años de las Jornadas</w:t>
      </w:r>
    </w:p>
    <w:p w:rsidR="00000000" w:rsidDel="00000000" w:rsidP="00000000" w:rsidRDefault="00000000" w:rsidRPr="00000000" w14:paraId="000000CA">
      <w:pPr>
        <w:keepNext w:val="0"/>
        <w:keepLines w:val="0"/>
        <w:pageBreakBefore w:val="0"/>
        <w:widowControl w:val="1"/>
        <w:numPr>
          <w:ilvl w:val="2"/>
          <w:numId w:val="9"/>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Libro indizado de las Jornadas XVI, XVII y XVIII (2020-2021-2022)</w:t>
      </w:r>
    </w:p>
    <w:p w:rsidR="00000000" w:rsidDel="00000000" w:rsidP="00000000" w:rsidRDefault="00000000" w:rsidRPr="00000000" w14:paraId="000000CB">
      <w:pPr>
        <w:keepNext w:val="0"/>
        <w:keepLines w:val="0"/>
        <w:pageBreakBefore w:val="0"/>
        <w:widowControl w:val="1"/>
        <w:numPr>
          <w:ilvl w:val="2"/>
          <w:numId w:val="9"/>
        </w:numPr>
        <w:pBdr>
          <w:top w:space="0" w:sz="0" w:val="nil"/>
          <w:left w:space="0" w:sz="0" w:val="nil"/>
          <w:bottom w:space="0" w:sz="0" w:val="nil"/>
          <w:right w:space="0" w:sz="0" w:val="nil"/>
          <w:between w:space="0" w:sz="0" w:val="nil"/>
        </w:pBdr>
        <w:shd w:fill="auto" w:val="clear"/>
        <w:spacing w:after="240" w:before="0" w:line="240" w:lineRule="auto"/>
        <w:ind w:left="18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Terminar de subir al Repositorio Institucional de la Biblioteca Central las Actas de las Jornadas 2020-2024, asignando un D.O.I. a cada artículo.</w:t>
      </w:r>
    </w:p>
    <w:p w:rsidR="00000000" w:rsidDel="00000000" w:rsidP="00000000" w:rsidRDefault="00000000" w:rsidRPr="00000000" w14:paraId="000000CC">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120" w:before="0" w:line="240" w:lineRule="auto"/>
        <w:ind w:left="108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cursará carta a todos los miembros de CIphER para que </w:t>
      </w:r>
      <w:r w:rsidDel="00000000" w:rsidR="00000000" w:rsidRPr="00000000">
        <w:rPr>
          <w:rFonts w:ascii="Times New Roman" w:cs="Times New Roman" w:eastAsia="Times New Roman" w:hAnsi="Times New Roman"/>
          <w:b w:val="0"/>
          <w:i w:val="0"/>
          <w:smallCaps w:val="1"/>
          <w:strike w:val="0"/>
          <w:color w:val="000000"/>
          <w:sz w:val="24"/>
          <w:szCs w:val="24"/>
          <w:u w:val="none"/>
          <w:shd w:fill="auto" w:val="clear"/>
          <w:vertAlign w:val="baseline"/>
          <w:rtl w:val="0"/>
        </w:rPr>
        <w:t xml:space="preserve">propongan actividades para el resto del año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 tema y posible fecha, y las envíen a </w:t>
      </w:r>
      <w:hyperlink r:id="rId12">
        <w:r w:rsidDel="00000000" w:rsidR="00000000" w:rsidRPr="00000000">
          <w:rPr>
            <w:rFonts w:ascii="Times New Roman" w:cs="Times New Roman" w:eastAsia="Times New Roman" w:hAnsi="Times New Roman"/>
            <w:b w:val="0"/>
            <w:i w:val="0"/>
            <w:smallCaps w:val="0"/>
            <w:strike w:val="0"/>
            <w:color w:val="0563c1"/>
            <w:sz w:val="24"/>
            <w:szCs w:val="24"/>
            <w:u w:val="single"/>
            <w:shd w:fill="auto" w:val="clear"/>
            <w:vertAlign w:val="baseline"/>
            <w:rtl w:val="0"/>
          </w:rPr>
          <w:t xml:space="preserve">cipher@pucp.edu.pe</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CD">
      <w:pPr>
        <w:spacing w:after="120" w:lineRule="auto"/>
        <w:rPr/>
      </w:pPr>
      <w:r w:rsidDel="00000000" w:rsidR="00000000" w:rsidRPr="00000000">
        <w:rPr>
          <w:rtl w:val="0"/>
        </w:rPr>
      </w:r>
    </w:p>
    <w:p w:rsidR="00000000" w:rsidDel="00000000" w:rsidP="00000000" w:rsidRDefault="00000000" w:rsidRPr="00000000" w14:paraId="000000CE">
      <w:pPr>
        <w:spacing w:after="120" w:lineRule="auto"/>
        <w:rPr/>
      </w:pPr>
      <w:r w:rsidDel="00000000" w:rsidR="00000000" w:rsidRPr="00000000">
        <w:rPr>
          <w:rtl w:val="0"/>
        </w:rPr>
        <w:t xml:space="preserve">La sesión terminó a las 13:05 h., agradeciendo la participación de los asistentes.</w:t>
      </w:r>
    </w:p>
    <w:p w:rsidR="00000000" w:rsidDel="00000000" w:rsidP="00000000" w:rsidRDefault="00000000" w:rsidRPr="00000000" w14:paraId="000000CF">
      <w:pPr>
        <w:spacing w:after="120" w:lineRule="auto"/>
        <w:rPr/>
      </w:pPr>
      <w:r w:rsidDel="00000000" w:rsidR="00000000" w:rsidRPr="00000000">
        <w:rPr/>
        <w:drawing>
          <wp:inline distB="0" distT="0" distL="0" distR="0">
            <wp:extent cx="1565378" cy="641707"/>
            <wp:effectExtent b="0" l="0" r="0" t="0"/>
            <wp:docPr id="1265833175"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1565378" cy="641707"/>
                    </a:xfrm>
                    <a:prstGeom prst="rect"/>
                    <a:ln/>
                  </pic:spPr>
                </pic:pic>
              </a:graphicData>
            </a:graphic>
          </wp:inline>
        </w:drawing>
      </w:r>
      <w:r w:rsidDel="00000000" w:rsidR="00000000" w:rsidRPr="00000000">
        <w:rPr>
          <w:rtl w:val="0"/>
        </w:rPr>
      </w:r>
    </w:p>
    <w:p w:rsidR="00000000" w:rsidDel="00000000" w:rsidP="00000000" w:rsidRDefault="00000000" w:rsidRPr="00000000" w14:paraId="000000D0">
      <w:pPr>
        <w:spacing w:after="120" w:lineRule="auto"/>
        <w:rPr/>
      </w:pPr>
      <w:r w:rsidDel="00000000" w:rsidR="00000000" w:rsidRPr="00000000">
        <w:rPr>
          <w:rtl w:val="0"/>
        </w:rPr>
      </w:r>
    </w:p>
    <w:p w:rsidR="00000000" w:rsidDel="00000000" w:rsidP="00000000" w:rsidRDefault="00000000" w:rsidRPr="00000000" w14:paraId="000000D1">
      <w:pPr>
        <w:spacing w:after="120" w:lineRule="auto"/>
        <w:rPr/>
      </w:pPr>
      <w:r w:rsidDel="00000000" w:rsidR="00000000" w:rsidRPr="00000000">
        <w:rPr>
          <w:rtl w:val="0"/>
        </w:rPr>
        <w:t xml:space="preserve">Rosemary Rizo-Patrón de Lerner</w:t>
      </w:r>
    </w:p>
    <w:p w:rsidR="00000000" w:rsidDel="00000000" w:rsidP="00000000" w:rsidRDefault="00000000" w:rsidRPr="00000000" w14:paraId="000000D2">
      <w:pPr>
        <w:spacing w:after="120" w:lineRule="auto"/>
        <w:rPr/>
      </w:pPr>
      <w:r w:rsidDel="00000000" w:rsidR="00000000" w:rsidRPr="00000000">
        <w:rPr>
          <w:rtl w:val="0"/>
        </w:rPr>
      </w:r>
    </w:p>
    <w:p w:rsidR="00000000" w:rsidDel="00000000" w:rsidP="00000000" w:rsidRDefault="00000000" w:rsidRPr="00000000" w14:paraId="000000D3">
      <w:pPr>
        <w:spacing w:after="120" w:lineRule="auto"/>
        <w:jc w:val="center"/>
        <w:rPr/>
      </w:pPr>
      <w:r w:rsidDel="00000000" w:rsidR="00000000" w:rsidRPr="00000000">
        <w:rPr>
          <w:rtl w:val="0"/>
        </w:rPr>
        <w:t xml:space="preserve">***</w:t>
      </w:r>
    </w:p>
    <w:sectPr>
      <w:footerReference r:id="rId14" w:type="default"/>
      <w:footerReference r:id="rId15" w:type="even"/>
      <w:pgSz w:h="15840" w:w="12240" w:orient="portrait"/>
      <w:pgMar w:bottom="680" w:top="709" w:left="993" w:right="160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Unicode MS"/>
  <w:font w:name="Times New Roman"/>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Se informó que M.I. Quevedo renunció hace algunos años, y Víctor Montero avisó el 14 de mayo 2015 su interés en retirar su membresía, por estar sus actividades orientadas en otra dirección; sin embargo, agradecemos su presencia a esta Asamblea.</w:t>
      </w:r>
    </w:p>
  </w:footnote>
  <w:footnote w:id="1">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Center for Advanced Research in Phenomenology.</w:t>
      </w:r>
    </w:p>
  </w:footnote>
  <w:footnote w:id="2">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La edición virtual de 5 volúmenes, cada uno de dos partes, compiló 140 artículos en francés, inglés, alemán, castellano y portugués: Vol. 1 – C.F. Cheung &amp; C.C. Yu (eds.)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Selected Essays from Asia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Vol. 2 – Z. Loparic &amp; R. Walton (eds.)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Selected Essays from Latin America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Vol. 3 – I. Copoeru &amp; H.R. Sepp (eds.)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Selected Essays from the Euro-Mediterrenean Area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Vol. 4 – H.R. Sepp &amp; I. Copoeru (eds.)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Selected Essays from Northern Europe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y Vol. 5 – L. Embree &amp; T. Nenon (eds.)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Selected Essays from North America.</w:t>
      </w:r>
      <w:r w:rsidDel="00000000" w:rsidR="00000000" w:rsidRPr="00000000">
        <w:rPr>
          <w:rtl w:val="0"/>
        </w:rPr>
      </w:r>
    </w:p>
  </w:footnote>
  <w:footnote w:id="3">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Un aporte sencillo y, a la vez, extraordinario, que ha tenido acogida sostenida durante años a través de academia.edu.</w:t>
      </w:r>
    </w:p>
  </w:footnote>
  <w:footnote w:id="4">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Los participantes fueron mayormente de Nor- y Sudamérica, pero también contó con la presencia del Profesor Chung-Chi YU de Taiwán, siendo su segunda venida al Perú (la primera fue en la II OPO Meeting)</w:t>
      </w:r>
    </w:p>
  </w:footnote>
  <w:footnote w:id="5">
    <w:p w:rsidR="00000000" w:rsidDel="00000000" w:rsidP="00000000" w:rsidRDefault="00000000" w:rsidRPr="00000000" w14:paraId="000000D9">
      <w:pPr>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El Inciso 3.5 del Reglamento de CIphER también señala lo siguiente: </w:t>
      </w:r>
      <w:r w:rsidDel="00000000" w:rsidR="00000000" w:rsidRPr="00000000">
        <w:rPr>
          <w:color w:val="0070c0"/>
          <w:sz w:val="20"/>
          <w:szCs w:val="20"/>
          <w:rtl w:val="0"/>
        </w:rPr>
        <w:t xml:space="preserve">“3.5 El cambio de clase de un miembro, de colaborador a ordinario, </w:t>
      </w:r>
      <w:r w:rsidDel="00000000" w:rsidR="00000000" w:rsidRPr="00000000">
        <w:rPr>
          <w:i w:val="1"/>
          <w:color w:val="0070c0"/>
          <w:sz w:val="20"/>
          <w:szCs w:val="20"/>
          <w:rtl w:val="0"/>
        </w:rPr>
        <w:t xml:space="preserve">o su separación</w:t>
      </w:r>
      <w:r w:rsidDel="00000000" w:rsidR="00000000" w:rsidRPr="00000000">
        <w:rPr>
          <w:color w:val="0070c0"/>
          <w:sz w:val="20"/>
          <w:szCs w:val="20"/>
          <w:rtl w:val="0"/>
        </w:rPr>
        <w:t xml:space="preserve">, podrá ser decidida también por el Comité de Dirección.” </w:t>
      </w:r>
      <w:r w:rsidDel="00000000" w:rsidR="00000000" w:rsidRPr="00000000">
        <w:rPr>
          <w:sz w:val="20"/>
          <w:szCs w:val="20"/>
          <w:rtl w:val="0"/>
        </w:rPr>
        <w:t xml:space="preserve">En ese sentido, el Comité de Dirección también puede revisar y proponer modificaciones al Reglamento, que luego se sometan a aprobación por parte de la Asamblea.</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6">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En adelante, nos referimos a él como CIphER-Grupo, para diferenciarlo del Círculo Peruano de Fenomenología y Hermenéutica (CIphER-Círculo).</w:t>
      </w:r>
    </w:p>
  </w:footnote>
  <w:footnote w:id="7">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Lamentablemente, al no estar “indexados” formalmente, los libros no han podido ser considerados hasta ahora por el VRI-DGI—siendo quizás el aporte más valioso del Grupo.</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4"/>
      <w:numFmt w:val="decimal"/>
      <w:lvlText w:val="%1.%2"/>
      <w:lvlJc w:val="left"/>
      <w:pPr>
        <w:ind w:left="1440" w:hanging="360"/>
      </w:pPr>
      <w:rPr/>
    </w:lvl>
    <w:lvl w:ilvl="2">
      <w:start w:val="1"/>
      <w:numFmt w:val="decimal"/>
      <w:lvlText w:val="%1.%2.%3"/>
      <w:lvlJc w:val="left"/>
      <w:pPr>
        <w:ind w:left="2520" w:hanging="720"/>
      </w:pPr>
      <w:rPr/>
    </w:lvl>
    <w:lvl w:ilvl="3">
      <w:start w:val="1"/>
      <w:numFmt w:val="decimal"/>
      <w:lvlText w:val="%1.%2.%3.%4"/>
      <w:lvlJc w:val="left"/>
      <w:pPr>
        <w:ind w:left="3240" w:hanging="720"/>
      </w:pPr>
      <w:rPr/>
    </w:lvl>
    <w:lvl w:ilvl="4">
      <w:start w:val="1"/>
      <w:numFmt w:val="decimal"/>
      <w:lvlText w:val="%1.%2.%3.%4.%5"/>
      <w:lvlJc w:val="left"/>
      <w:pPr>
        <w:ind w:left="3960" w:hanging="720"/>
      </w:pPr>
      <w:rPr/>
    </w:lvl>
    <w:lvl w:ilvl="5">
      <w:start w:val="1"/>
      <w:numFmt w:val="decimal"/>
      <w:lvlText w:val="%1.%2.%3.%4.%5.%6"/>
      <w:lvlJc w:val="left"/>
      <w:pPr>
        <w:ind w:left="5040" w:hanging="1080"/>
      </w:pPr>
      <w:rPr/>
    </w:lvl>
    <w:lvl w:ilvl="6">
      <w:start w:val="1"/>
      <w:numFmt w:val="decimal"/>
      <w:lvlText w:val="%1.%2.%3.%4.%5.%6.%7"/>
      <w:lvlJc w:val="left"/>
      <w:pPr>
        <w:ind w:left="5760" w:hanging="1080"/>
      </w:pPr>
      <w:rPr/>
    </w:lvl>
    <w:lvl w:ilvl="7">
      <w:start w:val="1"/>
      <w:numFmt w:val="decimal"/>
      <w:lvlText w:val="%1.%2.%3.%4.%5.%6.%7.%8"/>
      <w:lvlJc w:val="left"/>
      <w:pPr>
        <w:ind w:left="6840" w:hanging="1440"/>
      </w:pPr>
      <w:rPr/>
    </w:lvl>
    <w:lvl w:ilvl="8">
      <w:start w:val="1"/>
      <w:numFmt w:val="decimal"/>
      <w:lvlText w:val="%1.%2.%3.%4.%5.%6.%7.%8.%9"/>
      <w:lvlJc w:val="left"/>
      <w:pPr>
        <w:ind w:left="7560" w:hanging="1440"/>
      </w:pPr>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5">
    <w:lvl w:ilvl="0">
      <w:start w:val="1"/>
      <w:numFmt w:val="bullet"/>
      <w:lvlText w:val="●"/>
      <w:lvlJc w:val="left"/>
      <w:pPr>
        <w:ind w:left="1068" w:hanging="360"/>
      </w:pPr>
      <w:rPr>
        <w:rFonts w:ascii="Noto Sans Symbols" w:cs="Noto Sans Symbols" w:eastAsia="Noto Sans Symbols" w:hAnsi="Noto Sans Symbols"/>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6">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655" w:hanging="360"/>
      </w:pPr>
      <w:rPr>
        <w:rFonts w:ascii="Courier New" w:cs="Courier New" w:eastAsia="Courier New" w:hAnsi="Courier New"/>
      </w:rPr>
    </w:lvl>
    <w:lvl w:ilvl="2">
      <w:start w:val="1"/>
      <w:numFmt w:val="bullet"/>
      <w:lvlText w:val="▪"/>
      <w:lvlJc w:val="left"/>
      <w:pPr>
        <w:ind w:left="1375" w:hanging="360"/>
      </w:pPr>
      <w:rPr>
        <w:rFonts w:ascii="Noto Sans Symbols" w:cs="Noto Sans Symbols" w:eastAsia="Noto Sans Symbols" w:hAnsi="Noto Sans Symbols"/>
      </w:rPr>
    </w:lvl>
    <w:lvl w:ilvl="3">
      <w:start w:val="1"/>
      <w:numFmt w:val="bullet"/>
      <w:lvlText w:val="●"/>
      <w:lvlJc w:val="left"/>
      <w:pPr>
        <w:ind w:left="2095" w:hanging="360"/>
      </w:pPr>
      <w:rPr>
        <w:rFonts w:ascii="Noto Sans Symbols" w:cs="Noto Sans Symbols" w:eastAsia="Noto Sans Symbols" w:hAnsi="Noto Sans Symbols"/>
      </w:rPr>
    </w:lvl>
    <w:lvl w:ilvl="4">
      <w:start w:val="1"/>
      <w:numFmt w:val="bullet"/>
      <w:lvlText w:val="o"/>
      <w:lvlJc w:val="left"/>
      <w:pPr>
        <w:ind w:left="2815" w:hanging="360"/>
      </w:pPr>
      <w:rPr>
        <w:rFonts w:ascii="Courier New" w:cs="Courier New" w:eastAsia="Courier New" w:hAnsi="Courier New"/>
      </w:rPr>
    </w:lvl>
    <w:lvl w:ilvl="5">
      <w:start w:val="1"/>
      <w:numFmt w:val="bullet"/>
      <w:lvlText w:val="▪"/>
      <w:lvlJc w:val="left"/>
      <w:pPr>
        <w:ind w:left="3535" w:hanging="360"/>
      </w:pPr>
      <w:rPr>
        <w:rFonts w:ascii="Noto Sans Symbols" w:cs="Noto Sans Symbols" w:eastAsia="Noto Sans Symbols" w:hAnsi="Noto Sans Symbols"/>
      </w:rPr>
    </w:lvl>
    <w:lvl w:ilvl="6">
      <w:start w:val="1"/>
      <w:numFmt w:val="bullet"/>
      <w:lvlText w:val="●"/>
      <w:lvlJc w:val="left"/>
      <w:pPr>
        <w:ind w:left="4255" w:hanging="360"/>
      </w:pPr>
      <w:rPr>
        <w:rFonts w:ascii="Noto Sans Symbols" w:cs="Noto Sans Symbols" w:eastAsia="Noto Sans Symbols" w:hAnsi="Noto Sans Symbols"/>
      </w:rPr>
    </w:lvl>
    <w:lvl w:ilvl="7">
      <w:start w:val="1"/>
      <w:numFmt w:val="bullet"/>
      <w:lvlText w:val="o"/>
      <w:lvlJc w:val="left"/>
      <w:pPr>
        <w:ind w:left="4975" w:hanging="360"/>
      </w:pPr>
      <w:rPr>
        <w:rFonts w:ascii="Courier New" w:cs="Courier New" w:eastAsia="Courier New" w:hAnsi="Courier New"/>
      </w:rPr>
    </w:lvl>
    <w:lvl w:ilvl="8">
      <w:start w:val="1"/>
      <w:numFmt w:val="bullet"/>
      <w:lvlText w:val="▪"/>
      <w:lvlJc w:val="left"/>
      <w:pPr>
        <w:ind w:left="5695" w:hanging="360"/>
      </w:pPr>
      <w:rPr>
        <w:rFonts w:ascii="Noto Sans Symbols" w:cs="Noto Sans Symbols" w:eastAsia="Noto Sans Symbols" w:hAnsi="Noto Sans Symbols"/>
      </w:rPr>
    </w:lvl>
  </w:abstractNum>
  <w:abstractNum w:abstractNumId="8">
    <w:lvl w:ilvl="0">
      <w:start w:val="1"/>
      <w:numFmt w:val="bullet"/>
      <w:lvlText w:val="▪"/>
      <w:lvlJc w:val="left"/>
      <w:pPr>
        <w:ind w:left="360" w:hanging="360"/>
      </w:pPr>
      <w:rPr>
        <w:rFonts w:ascii="Noto Sans Symbols" w:cs="Noto Sans Symbols" w:eastAsia="Noto Sans Symbols" w:hAnsi="Noto Sans Symbols"/>
      </w:rPr>
    </w:lvl>
    <w:lvl w:ilvl="1">
      <w:start w:val="1"/>
      <w:numFmt w:val="lowerLetter"/>
      <w:lvlText w:val="%2)"/>
      <w:lvlJc w:val="left"/>
      <w:pPr>
        <w:ind w:left="360" w:hanging="360"/>
      </w:pPr>
      <w:rPr>
        <w:b w:val="1"/>
        <w:i w:val="0"/>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P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B3E9C"/>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8D5F4D"/>
    <w:pPr>
      <w:ind w:left="720"/>
      <w:contextualSpacing w:val="1"/>
    </w:pPr>
  </w:style>
  <w:style w:type="table" w:styleId="TableGrid">
    <w:name w:val="Table Grid"/>
    <w:basedOn w:val="TableNormal"/>
    <w:uiPriority w:val="39"/>
    <w:rsid w:val="008D5F4D"/>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6B3E9C"/>
    <w:rPr>
      <w:color w:val="0563c1" w:themeColor="hyperlink"/>
      <w:u w:val="single"/>
    </w:rPr>
  </w:style>
  <w:style w:type="character" w:styleId="UnresolvedMention">
    <w:name w:val="Unresolved Mention"/>
    <w:basedOn w:val="DefaultParagraphFont"/>
    <w:uiPriority w:val="99"/>
    <w:semiHidden w:val="1"/>
    <w:unhideWhenUsed w:val="1"/>
    <w:rsid w:val="006B3E9C"/>
    <w:rPr>
      <w:color w:val="605e5c"/>
      <w:shd w:color="auto" w:fill="e1dfdd" w:val="clear"/>
    </w:rPr>
  </w:style>
  <w:style w:type="paragraph" w:styleId="FootnoteText">
    <w:name w:val="footnote text"/>
    <w:basedOn w:val="Normal"/>
    <w:link w:val="FootnoteTextChar"/>
    <w:uiPriority w:val="99"/>
    <w:semiHidden w:val="1"/>
    <w:unhideWhenUsed w:val="1"/>
    <w:rsid w:val="00964BAC"/>
    <w:rPr>
      <w:sz w:val="20"/>
      <w:szCs w:val="20"/>
    </w:rPr>
  </w:style>
  <w:style w:type="character" w:styleId="FootnoteTextChar" w:customStyle="1">
    <w:name w:val="Footnote Text Char"/>
    <w:basedOn w:val="DefaultParagraphFont"/>
    <w:link w:val="FootnoteText"/>
    <w:uiPriority w:val="99"/>
    <w:semiHidden w:val="1"/>
    <w:rsid w:val="00964BAC"/>
    <w:rPr>
      <w:sz w:val="20"/>
      <w:szCs w:val="20"/>
    </w:rPr>
  </w:style>
  <w:style w:type="character" w:styleId="FootnoteReference">
    <w:name w:val="footnote reference"/>
    <w:basedOn w:val="DefaultParagraphFont"/>
    <w:uiPriority w:val="99"/>
    <w:semiHidden w:val="1"/>
    <w:unhideWhenUsed w:val="1"/>
    <w:rsid w:val="00964BAC"/>
    <w:rPr>
      <w:vertAlign w:val="superscript"/>
    </w:rPr>
  </w:style>
  <w:style w:type="paragraph" w:styleId="Footer">
    <w:name w:val="footer"/>
    <w:basedOn w:val="Normal"/>
    <w:link w:val="FooterChar"/>
    <w:uiPriority w:val="99"/>
    <w:unhideWhenUsed w:val="1"/>
    <w:rsid w:val="00322A3B"/>
    <w:pPr>
      <w:tabs>
        <w:tab w:val="center" w:pos="4419"/>
        <w:tab w:val="right" w:pos="8838"/>
      </w:tabs>
    </w:pPr>
  </w:style>
  <w:style w:type="character" w:styleId="FooterChar" w:customStyle="1">
    <w:name w:val="Footer Char"/>
    <w:basedOn w:val="DefaultParagraphFont"/>
    <w:link w:val="Footer"/>
    <w:uiPriority w:val="99"/>
    <w:rsid w:val="00322A3B"/>
  </w:style>
  <w:style w:type="character" w:styleId="PageNumber">
    <w:name w:val="page number"/>
    <w:basedOn w:val="DefaultParagraphFont"/>
    <w:uiPriority w:val="99"/>
    <w:semiHidden w:val="1"/>
    <w:unhideWhenUsed w:val="1"/>
    <w:rsid w:val="00322A3B"/>
  </w:style>
  <w:style w:type="character" w:styleId="FollowedHyperlink">
    <w:name w:val="FollowedHyperlink"/>
    <w:basedOn w:val="DefaultParagraphFont"/>
    <w:uiPriority w:val="99"/>
    <w:semiHidden w:val="1"/>
    <w:unhideWhenUsed w:val="1"/>
    <w:rsid w:val="009728D2"/>
    <w:rPr>
      <w:color w:val="954f72" w:themeColor="followedHyperlink"/>
      <w:u w:val="single"/>
    </w:rPr>
  </w:style>
  <w:style w:type="character" w:styleId="CommentReference">
    <w:name w:val="annotation reference"/>
    <w:basedOn w:val="DefaultParagraphFont"/>
    <w:uiPriority w:val="99"/>
    <w:semiHidden w:val="1"/>
    <w:unhideWhenUsed w:val="1"/>
    <w:rsid w:val="005F7CAC"/>
    <w:rPr>
      <w:sz w:val="16"/>
      <w:szCs w:val="16"/>
    </w:rPr>
  </w:style>
  <w:style w:type="paragraph" w:styleId="CommentText">
    <w:name w:val="annotation text"/>
    <w:basedOn w:val="Normal"/>
    <w:link w:val="CommentTextChar"/>
    <w:uiPriority w:val="99"/>
    <w:semiHidden w:val="1"/>
    <w:unhideWhenUsed w:val="1"/>
    <w:rsid w:val="005F7CAC"/>
    <w:rPr>
      <w:sz w:val="20"/>
      <w:szCs w:val="20"/>
    </w:rPr>
  </w:style>
  <w:style w:type="character" w:styleId="CommentTextChar" w:customStyle="1">
    <w:name w:val="Comment Text Char"/>
    <w:basedOn w:val="DefaultParagraphFont"/>
    <w:link w:val="CommentText"/>
    <w:uiPriority w:val="99"/>
    <w:semiHidden w:val="1"/>
    <w:rsid w:val="005F7CAC"/>
    <w:rPr>
      <w:sz w:val="20"/>
      <w:szCs w:val="20"/>
    </w:rPr>
  </w:style>
  <w:style w:type="paragraph" w:styleId="CommentSubject">
    <w:name w:val="annotation subject"/>
    <w:basedOn w:val="CommentText"/>
    <w:next w:val="CommentText"/>
    <w:link w:val="CommentSubjectChar"/>
    <w:uiPriority w:val="99"/>
    <w:semiHidden w:val="1"/>
    <w:unhideWhenUsed w:val="1"/>
    <w:rsid w:val="005F7CAC"/>
    <w:rPr>
      <w:b w:val="1"/>
      <w:bCs w:val="1"/>
    </w:rPr>
  </w:style>
  <w:style w:type="character" w:styleId="CommentSubjectChar" w:customStyle="1">
    <w:name w:val="Comment Subject Char"/>
    <w:basedOn w:val="CommentTextChar"/>
    <w:link w:val="CommentSubject"/>
    <w:uiPriority w:val="99"/>
    <w:semiHidden w:val="1"/>
    <w:rsid w:val="005F7CAC"/>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cipher@pucp.edu.pe" TargetMode="External"/><Relationship Id="rId10" Type="http://schemas.openxmlformats.org/officeDocument/2006/relationships/hyperlink" Target="http://www.clafen.org" TargetMode="External"/><Relationship Id="rId13" Type="http://schemas.openxmlformats.org/officeDocument/2006/relationships/image" Target="media/image2.png"/><Relationship Id="rId12" Type="http://schemas.openxmlformats.org/officeDocument/2006/relationships/hyperlink" Target="mailto:cipher@pucp.edu.p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red.pucp.edu.pe/cipher/en/eventos/2005-primeras-jornadas-de-fenomenologia-y-hermeneutica/" TargetMode="External"/><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xooGngQfK2bhELRo9UW8hKx3Aw==">CgMxLjAaMAoBMBIrCikIB0IlChFRdWF0dHJvY2VudG8gU2FucxIQQXJpYWwgVW5pY29kZSBNUxowCgExEisKKQgHQiUKEVF1YXR0cm9jZW50byBTYW5zEhBBcmlhbCBVbmljb2RlIE1TGjAKATISKwopCAdCJQoRUXVhdHRyb2NlbnRvIFNhbnMSEEFyaWFsIFVuaWNvZGUgTVM4AHIhMUhFQnlhNUsyVzE0RzR4MmlfZTlmUjVONUdGUWx5YUdI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2025-05-22T12:30:00Z</dcterms:created>
  <dc:creator>Rosemary Lerner</dc:creator>
</cp:coreProperties>
</file>